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jc w:val="right"/>
        <w:rPr>
          <w:rFonts w:hint="default" w:ascii="Times New Roman" w:hAnsi="Times New Roman" w:eastAsia="仿宋" w:cs="Times New Roman"/>
          <w:color w:val="auto"/>
          <w:highlight w:val="none"/>
        </w:rPr>
      </w:pPr>
      <w:r/>
      <w:bookmarkStart w:id="0" w:name="_Toc11771421"/>
      <w:r>
        <w:rPr>
          <w:rFonts w:hint="eastAsia" w:ascii="仿宋" w:hAnsi="仿宋" w:eastAsia="仿宋"/>
          <w:color w:val="auto"/>
          <w:highlight w:val="none"/>
        </w:rPr>
        <mc:AlternateContent>
          <mc:Choice Requires="wpg">
            <w:drawing>
              <wp:inline xmlns:wp="http://schemas.openxmlformats.org/drawingml/2006/wordprocessingDrawing" distT="0" distB="0" distL="0" distR="0">
                <wp:extent cx="1039495" cy="1039495"/>
                <wp:effectExtent l="0" t="0" r="8255" b="8255"/>
                <wp:docPr id="5" name="图片 2" descr="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LOGO-02_副本"/>
                        <pic:cNvPicPr>
                          <a:picLocks noChangeAspect="1"/>
                        </pic:cNvPicPr>
                        <pic:nvPr/>
                      </pic:nvPicPr>
                      <pic:blipFill>
                        <a:blip r:embed="rId17"/>
                        <a:stretch/>
                      </pic:blipFill>
                      <pic:spPr bwMode="auto">
                        <a:xfrm>
                          <a:off x="0" y="0"/>
                          <a:ext cx="1039495" cy="103949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1.8pt;height:81.8pt;mso-wrap-distance-left:0.0pt;mso-wrap-distance-top:0.0pt;mso-wrap-distance-right:0.0pt;mso-wrap-distance-bottom:0.0pt;" stroked="f" strokeweight="0.75pt">
                <v:path textboxrect="0,0,0,0"/>
                <v:imagedata r:id="rId17" o:title=""/>
              </v:shape>
            </w:pict>
          </mc:Fallback>
        </mc:AlternateContent>
      </w:r>
      <w:bookmarkEnd w:id="0"/>
      <w:r/>
      <w:r/>
    </w:p>
    <w:p>
      <w:pPr>
        <w:jc w:val="center"/>
        <w:spacing w:line="360" w:lineRule="auto"/>
        <w:shd w:val="clear" w:color="auto" w:fill="ffffff"/>
        <w:widowControl/>
        <w:rPr>
          <w:rFonts w:hint="default" w:ascii="Times New Roman" w:hAnsi="Times New Roman" w:eastAsia="仿宋" w:cs="Times New Roman"/>
          <w:b/>
          <w:color w:val="auto"/>
          <w:spacing w:val="-20"/>
          <w:sz w:val="48"/>
          <w:szCs w:val="48"/>
          <w:highlight w:val="none"/>
        </w:rPr>
      </w:pPr>
      <w:r>
        <w:rPr>
          <w:rFonts w:hint="default" w:ascii="Times New Roman" w:hAnsi="Times New Roman" w:eastAsia="仿宋" w:cs="Times New Roman"/>
          <w:b/>
          <w:color w:val="auto"/>
          <w:spacing w:val="-20"/>
          <w:sz w:val="48"/>
          <w:szCs w:val="48"/>
          <w:highlight w:val="none"/>
        </w:rPr>
      </w:r>
      <w:r/>
    </w:p>
    <w:p>
      <w:pPr>
        <w:pStyle w:val="828"/>
        <w:rPr>
          <w:rFonts w:hint="eastAsia" w:ascii="Times New Roman" w:hAnsi="Times New Roman" w:eastAsia="仿宋" w:cs="Times New Roman"/>
          <w:color w:val="auto"/>
          <w:highlight w:val="none"/>
          <w:lang w:eastAsia="zh-CN"/>
        </w:rPr>
      </w:pPr>
      <w:r>
        <w:rPr>
          <w:rFonts w:hint="eastAsia" w:eastAsia="仿宋" w:cs="Times New Roman"/>
          <w:b/>
          <w:color w:val="auto"/>
          <w:sz w:val="52"/>
          <w:szCs w:val="52"/>
          <w:highlight w:val="none"/>
          <w:lang w:eastAsia="zh-CN"/>
        </w:rPr>
        <w:t xml:space="preserve">板桥街道四座泵站备用电源项目</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2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6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t xml:space="preserve">招标文件</w:t>
      </w:r>
      <w:r/>
    </w:p>
    <w:p>
      <w:pPr>
        <w:jc w:val="center"/>
        <w:spacing w:line="360" w:lineRule="auto"/>
        <w:widowControl/>
        <w:rPr>
          <w:rFonts w:hint="eastAsia" w:ascii="Times New Roman" w:hAnsi="Times New Roman" w:eastAsia="仿宋" w:cs="Times New Roman"/>
          <w:b/>
          <w:color w:val="auto"/>
          <w:sz w:val="36"/>
          <w:szCs w:val="36"/>
          <w:highlight w:val="none"/>
          <w:lang w:eastAsia="zh-CN"/>
        </w:rPr>
      </w:pPr>
      <w:r/>
      <w:bookmarkStart w:id="1" w:name="_Toc22212"/>
      <w:r>
        <w:rPr>
          <w:rFonts w:hint="default" w:ascii="Times New Roman" w:hAnsi="Times New Roman" w:eastAsia="仿宋" w:cs="Times New Roman"/>
          <w:b/>
          <w:color w:val="auto"/>
          <w:sz w:val="36"/>
          <w:szCs w:val="36"/>
          <w:highlight w:val="none"/>
        </w:rPr>
        <w:t xml:space="preserve">项目编号：</w:t>
      </w:r>
      <w:bookmarkEnd w:id="1"/>
      <w:r>
        <w:rPr>
          <w:rFonts w:hint="eastAsia" w:eastAsia="仿宋" w:cs="Times New Roman"/>
          <w:b/>
          <w:color w:val="auto"/>
          <w:sz w:val="36"/>
          <w:szCs w:val="36"/>
          <w:highlight w:val="none"/>
          <w:lang w:eastAsia="zh-CN"/>
        </w:rPr>
        <w:t xml:space="preserve">JSZC-320114-NJRJ-G2025-0059</w:t>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r>
      <w:r/>
    </w:p>
    <w:p>
      <w:pPr>
        <w:pStyle w:val="828"/>
        <w:rPr>
          <w:rFonts w:hint="default"/>
          <w:color w:val="auto"/>
          <w:highlight w:val="none"/>
        </w:rPr>
      </w:pPr>
      <w:r>
        <w:rPr>
          <w:rFonts w:hint="default"/>
          <w:color w:val="auto"/>
          <w:highlight w:val="none"/>
        </w:rPr>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r>
      <w:r/>
    </w:p>
    <w:p>
      <w:pPr>
        <w:jc w:val="center"/>
        <w:spacing w:line="360" w:lineRule="auto"/>
        <w:widowControl/>
        <w:rPr>
          <w:rFonts w:hint="eastAsia" w:ascii="Times New Roman" w:hAnsi="Times New Roman" w:eastAsia="仿宋" w:cs="Times New Roman"/>
          <w:b/>
          <w:color w:val="auto"/>
          <w:sz w:val="36"/>
          <w:szCs w:val="36"/>
          <w:highlight w:val="none"/>
          <w:lang w:eastAsia="zh-CN"/>
        </w:rPr>
      </w:pPr>
      <w:r/>
      <w:bookmarkStart w:id="2" w:name="_Toc21333"/>
      <w:r>
        <w:rPr>
          <w:rFonts w:hint="default" w:ascii="Times New Roman" w:hAnsi="Times New Roman" w:eastAsia="仿宋" w:cs="Times New Roman"/>
          <w:b/>
          <w:color w:val="auto"/>
          <w:sz w:val="36"/>
          <w:szCs w:val="36"/>
          <w:highlight w:val="none"/>
        </w:rPr>
        <w:t xml:space="preserve">采购人：</w:t>
      </w:r>
      <w:bookmarkEnd w:id="2"/>
      <w:r>
        <w:rPr>
          <w:rFonts w:hint="eastAsia" w:eastAsia="仿宋" w:cs="Times New Roman"/>
          <w:b/>
          <w:color w:val="auto"/>
          <w:sz w:val="36"/>
          <w:szCs w:val="36"/>
          <w:highlight w:val="none"/>
          <w:lang w:eastAsia="zh-CN"/>
        </w:rPr>
        <w:t xml:space="preserve">南京市雨花台区人民政府板桥街道办事处</w:t>
      </w:r>
      <w:r/>
    </w:p>
    <w:p>
      <w:pPr>
        <w:jc w:val="center"/>
        <w:spacing w:line="360" w:lineRule="auto"/>
        <w:widowControl/>
        <w:rPr>
          <w:rFonts w:hint="eastAsia" w:ascii="Times New Roman" w:hAnsi="Times New Roman" w:eastAsia="仿宋" w:cs="Times New Roman"/>
          <w:b/>
          <w:color w:val="auto"/>
          <w:sz w:val="36"/>
          <w:szCs w:val="36"/>
          <w:highlight w:val="none"/>
          <w:lang w:eastAsia="zh-CN"/>
        </w:rPr>
      </w:pPr>
      <w:r/>
      <w:bookmarkStart w:id="3" w:name="_Toc2950"/>
      <w:r>
        <w:rPr>
          <w:rFonts w:hint="default" w:ascii="Times New Roman" w:hAnsi="Times New Roman" w:eastAsia="仿宋" w:cs="Times New Roman"/>
          <w:b/>
          <w:color w:val="auto"/>
          <w:sz w:val="36"/>
          <w:szCs w:val="36"/>
          <w:highlight w:val="none"/>
        </w:rPr>
        <w:t xml:space="preserve">代理机构：</w:t>
      </w:r>
      <w:bookmarkEnd w:id="3"/>
      <w:r>
        <w:rPr>
          <w:rFonts w:hint="eastAsia" w:eastAsia="仿宋" w:cs="Times New Roman"/>
          <w:b/>
          <w:color w:val="auto"/>
          <w:sz w:val="36"/>
          <w:szCs w:val="36"/>
          <w:highlight w:val="none"/>
          <w:lang w:eastAsia="zh-CN"/>
        </w:rPr>
        <w:t xml:space="preserve">南京瑞嘉建设项目管理有限公司</w:t>
      </w:r>
      <w:r/>
    </w:p>
    <w:p>
      <w:pPr>
        <w:jc w:val="center"/>
        <w:spacing w:line="360" w:lineRule="auto"/>
        <w:shd w:val="clear" w:color="auto" w:fill="ffffff"/>
        <w:widowControl/>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2025年</w:t>
      </w:r>
      <w:r>
        <w:rPr>
          <w:rFonts w:hint="eastAsia" w:eastAsia="仿宋" w:cs="Times New Roman"/>
          <w:b/>
          <w:color w:val="auto"/>
          <w:sz w:val="36"/>
          <w:szCs w:val="36"/>
          <w:highlight w:val="none"/>
          <w:lang w:val="en-US" w:eastAsia="zh-CN"/>
        </w:rPr>
        <w:t xml:space="preserve">10</w:t>
      </w:r>
      <w:r>
        <w:rPr>
          <w:rFonts w:hint="default" w:ascii="Times New Roman" w:hAnsi="Times New Roman" w:eastAsia="仿宋" w:cs="Times New Roman"/>
          <w:b/>
          <w:color w:val="auto"/>
          <w:sz w:val="36"/>
          <w:szCs w:val="36"/>
          <w:highlight w:val="none"/>
        </w:rPr>
        <w:t xml:space="preserve">月</w:t>
      </w:r>
      <w:r/>
    </w:p>
    <w:p>
      <w:pPr>
        <w:pStyle w:val="1134"/>
        <w:jc w:val="center"/>
        <w:rPr>
          <w:rFonts w:hint="default" w:ascii="Times New Roman" w:hAnsi="Times New Roman" w:eastAsia="仿宋" w:cs="Times New Roman"/>
          <w:color w:val="auto"/>
          <w:sz w:val="36"/>
          <w:szCs w:val="36"/>
          <w:highlight w:val="none"/>
          <w:lang w:val="zh-CN"/>
        </w:rPr>
        <w:sectPr>
          <w:footerReference w:type="default" r:id="rId10"/>
          <w:footnotePr/>
          <w:endnotePr>
            <w:numFmt w:val="decimal"/>
          </w:endnotePr>
          <w:type w:val="nextPage"/>
          <w:pgSz w:w="11906" w:h="16838" w:orient="portrait"/>
          <w:pgMar w:top="1417" w:right="1757" w:bottom="1417" w:left="1757" w:header="227" w:footer="720" w:gutter="0"/>
          <w:cols w:num="1" w:sep="0" w:space="720" w:equalWidth="1"/>
          <w:docGrid w:linePitch="360"/>
        </w:sectPr>
      </w:pPr>
      <w:r>
        <w:rPr>
          <w:rFonts w:hint="default" w:ascii="Times New Roman" w:hAnsi="Times New Roman" w:eastAsia="仿宋" w:cs="Times New Roman"/>
          <w:color w:val="auto"/>
          <w:sz w:val="36"/>
          <w:szCs w:val="36"/>
          <w:highlight w:val="none"/>
          <w:lang w:val="zh-CN"/>
        </w:rPr>
      </w:r>
      <w:r/>
    </w:p>
    <w:p>
      <w:pPr>
        <w:pStyle w:val="1134"/>
        <w:jc w:val="cente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lang w:val="zh-CN"/>
        </w:rPr>
        <w:t xml:space="preserve">目录</w:t>
      </w:r>
      <w:r/>
    </w:p>
    <w:p>
      <w:pPr>
        <w:pStyle w:val="849"/>
        <w:tabs>
          <w:tab w:val="right" w:pos="8296" w:leader="dot"/>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9"/>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fldChar w:fldCharType="begin"/>
      </w:r>
      <w:r>
        <w:rPr>
          <w:rFonts w:hint="default" w:ascii="Times New Roman" w:hAnsi="Times New Roman" w:eastAsia="仿宋" w:cs="Times New Roman"/>
          <w:color w:val="auto"/>
          <w:sz w:val="24"/>
          <w:highlight w:val="none"/>
        </w:rPr>
        <w:instrText xml:space="preserve">TOC \o "1-3" \h \u </w:instrText>
      </w:r>
      <w:r>
        <w:rPr>
          <w:rFonts w:hint="default" w:ascii="Times New Roman" w:hAnsi="Times New Roman" w:eastAsia="仿宋" w:cs="Times New Roman"/>
          <w:color w:val="auto"/>
          <w:sz w:val="24"/>
          <w:highlight w:val="none"/>
        </w:rPr>
        <w:fldChar w:fldCharType="separate"/>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"_Toc19058"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第一章 招标公告</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_Toc19058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3</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849"/>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"_Toc30136"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第二章 投标人须知</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_Toc30136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8</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849"/>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"_Toc27862"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第三章 评标标准</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_Toc27862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23</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849"/>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"_Toc16366"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第四章 采购需求</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_Toc16366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26</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849"/>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"_Toc14306"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第五章 合同主要条款及格式</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_Toc14306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38</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849"/>
        <w:spacing w:line="360" w:lineRule="auto"/>
        <w:tabs>
          <w:tab w:val="right" w:pos="8392" w:leader="dot"/>
        </w:tabs>
        <w:rPr>
          <w:rFonts w:hint="default" w:ascii="Times New Roman" w:hAnsi="Times New Roman" w:eastAsia="仿宋" w:cs="Times New Roman"/>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"_Toc30403"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第六章 投标文件格式及附件</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_Toc30403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46</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858"/>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"_Toc5786"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一、 基本目录</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_Toc5786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47</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"_Toc28563"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1、开标一览表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_Toc28563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47</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"_Toc4441"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2、投标申请及声明格式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_Toc4441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48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"_Toc25445"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highlight w:val="none"/>
        </w:rPr>
        <w:t xml:space="preserve">法定代表人身份证明或法人授权书</w:t>
      </w:r>
      <w:r>
        <w:rPr>
          <w:rFonts w:hint="eastAsia" w:ascii="Times New Roman" w:hAnsi="Times New Roman" w:eastAsia="仿宋" w:cs="Times New Roman"/>
          <w:color w:val="auto"/>
          <w:sz w:val="24"/>
          <w:highlight w:val="none"/>
          <w:lang w:val="en-US" w:eastAsia="zh-CN"/>
        </w:rPr>
        <w:t xml:space="preserve">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_Toc25445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"_Toc20182"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4、分项报价表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_Toc20182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52</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"_Toc4274"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5、技术条款偏离表格式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_Toc4274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54</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"_Toc961"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6、商务条款偏离表格式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_Toc961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55</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"_Toc28961"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7、采购文件要求及投标人认为需要提供的其他证明文件及材料</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_Toc28961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56</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58"/>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"_Toc17420"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二、资格文件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_Toc17420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57</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58"/>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"_Toc28183"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三、综合评审评分项</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_Toc28183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58</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58"/>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"_Toc4802"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四、价格折扣文件格式</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_Toc4802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59</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"_Toc17254"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1、中小企业声明函</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_Toc17254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"_Toc28559"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2、残疾人福利性单位声明函</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_Toc28559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"_Toc25611"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3、属于监狱企业的证明文件</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_Toc25611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"_Toc16929"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4、节能产品认证证书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_Toc16929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"_Toc16878"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5、环境标志产品认证证书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_Toc16878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"_Toc20044"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6、进口产品转让技术、消化吸收再创新方案</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_Toc20044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58"/>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"_Toc14351"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五、附件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_Toc14351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61</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"_Toc30626"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附件一、拟参与本项目服务人员一览表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_Toc30626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61</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"_Toc1537"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附件二、投标人类似业绩情况表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_Toc1537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62</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"_Toc26762"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4"/>
          <w:szCs w:val="24"/>
          <w:highlight w:val="none"/>
        </w:rPr>
        <w:t xml:space="preserve">附件三、无重大违法记录声明格式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_Toc26762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63</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"_Toc31020"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附件四、具备履行合同所必需的设备和专业技术能力的声明格式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_Toc31020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64</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40"/>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"_Toc15105"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4"/>
          <w:szCs w:val="24"/>
          <w:highlight w:val="none"/>
        </w:rPr>
        <w:t xml:space="preserve">附件五</w:t>
      </w:r>
      <w:r>
        <w:rPr>
          <w:rFonts w:hint="default" w:ascii="Times New Roman" w:hAnsi="Times New Roman" w:eastAsia="仿宋" w:cs="Times New Roman"/>
          <w:color w:val="auto"/>
          <w:sz w:val="24"/>
          <w:szCs w:val="24"/>
          <w:highlight w:val="none"/>
          <w:lang w:val="zh-CN"/>
        </w:rPr>
        <w:t xml:space="preserve">、南京市政府采购供应商信用记录表暨信用承诺书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_Toc15105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65</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fldChar w:fldCharType="end"/>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shd w:val="clear" w:color="auto" w:fill="ffffff"/>
        <w:widowControl/>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r>
      <w:r/>
    </w:p>
    <w:p>
      <w:pPr>
        <w:pStyle w:val="817"/>
        <w:rPr>
          <w:rFonts w:hint="default" w:ascii="Times New Roman" w:hAnsi="Times New Roman" w:eastAsia="仿宋" w:cs="Times New Roman"/>
          <w:color w:val="auto"/>
          <w:szCs w:val="21"/>
          <w:highlight w:val="none"/>
        </w:rPr>
        <w:sectPr>
          <w:footerReference w:type="default" r:id="rId11"/>
          <w:footnotePr/>
          <w:endnotePr>
            <w:numFmt w:val="decimal"/>
          </w:endnotePr>
          <w:type w:val="nextPage"/>
          <w:pgSz w:w="11906" w:h="16838" w:orient="portrait"/>
          <w:pgMar w:top="1417" w:right="1757" w:bottom="1417" w:left="1757" w:header="227" w:footer="720" w:gutter="0"/>
          <w:pgNumType w:start="1"/>
          <w:cols w:num="1" w:sep="0" w:space="720" w:equalWidth="1"/>
          <w:docGrid w:linePitch="360"/>
        </w:sectPr>
      </w:pPr>
      <w:r/>
      <w:bookmarkStart w:id="4" w:name="_Toc481057143"/>
      <w:r/>
      <w:bookmarkStart w:id="5" w:name="_Hlk52290185"/>
      <w:r/>
      <w:bookmarkStart w:id="6" w:name="_Hlk54715254"/>
      <w:r/>
      <w:r/>
    </w:p>
    <w:p>
      <w:pPr>
        <w:pStyle w:val="817"/>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highlight w:val="none"/>
        </w:rPr>
        <w:t xml:space="preserve"> </w:t>
      </w:r>
      <w:bookmarkStart w:id="7" w:name="_Toc19058"/>
      <w:r/>
      <w:bookmarkStart w:id="8" w:name="_Toc10141"/>
      <w:r>
        <w:rPr>
          <w:rFonts w:hint="default" w:ascii="Times New Roman" w:hAnsi="Times New Roman" w:eastAsia="仿宋" w:cs="Times New Roman"/>
          <w:color w:val="auto"/>
          <w:highlight w:val="none"/>
        </w:rPr>
        <w:t xml:space="preserve">招标公告</w:t>
      </w:r>
      <w:bookmarkEnd w:id="4"/>
      <w:r/>
      <w:bookmarkEnd w:id="7"/>
      <w:r/>
      <w:bookmarkEnd w:id="8"/>
      <w:r/>
      <w:r/>
    </w:p>
    <w:p>
      <w:pPr>
        <w:ind w:firstLine="514"/>
        <w:spacing w:line="360" w:lineRule="auto"/>
        <w:widowControl/>
        <w:rPr>
          <w:rFonts w:hint="default" w:ascii="Times New Roman" w:hAnsi="Times New Roman" w:eastAsia="仿宋" w:cs="Times New Roman"/>
          <w:b/>
          <w:bCs/>
          <w:color w:val="auto"/>
          <w:spacing w:val="8"/>
          <w:sz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b/>
          <w:bCs/>
          <w:color w:val="auto"/>
          <w:spacing w:val="8"/>
          <w:sz w:val="24"/>
          <w:highlight w:val="none"/>
        </w:rPr>
        <w:t xml:space="preserve">项目概况</w:t>
      </w:r>
      <w:r/>
    </w:p>
    <w:p>
      <w:pPr>
        <w:ind w:firstLine="482"/>
        <w:spacing w:line="360" w:lineRule="auto"/>
        <w:widowControl/>
        <w:rPr>
          <w:rFonts w:hint="default" w:ascii="Times New Roman" w:hAnsi="Times New Roman" w:eastAsia="仿宋" w:cs="Times New Roman"/>
          <w:color w:val="auto"/>
          <w:sz w:val="24"/>
          <w:highlight w:val="none"/>
        </w:rPr>
        <w:pBdr>
          <w:top w:val="single" w:color="auto" w:sz="4" w:space="1"/>
          <w:left w:val="single" w:color="auto" w:sz="4" w:space="4"/>
          <w:bottom w:val="single" w:color="auto" w:sz="4" w:space="1"/>
          <w:right w:val="single" w:color="auto" w:sz="4" w:space="4"/>
        </w:pBdr>
      </w:pPr>
      <w:r>
        <w:rPr>
          <w:rFonts w:hint="eastAsia" w:eastAsia="仿宋" w:cs="Times New Roman"/>
          <w:b/>
          <w:bCs/>
          <w:color w:val="auto"/>
          <w:sz w:val="24"/>
          <w:highlight w:val="none"/>
          <w:u w:val="single"/>
          <w:lang w:eastAsia="zh-CN"/>
        </w:rPr>
        <w:t xml:space="preserve">板桥街道四座泵站备用电源项目</w:t>
      </w:r>
      <w:r>
        <w:rPr>
          <w:rFonts w:hint="default" w:ascii="Times New Roman" w:hAnsi="Times New Roman" w:eastAsia="仿宋" w:cs="Times New Roman"/>
          <w:color w:val="auto"/>
          <w:spacing w:val="8"/>
          <w:sz w:val="24"/>
          <w:highlight w:val="none"/>
        </w:rPr>
        <w:t xml:space="preserve">的潜在投标人应在</w:t>
      </w:r>
      <w:r>
        <w:rPr>
          <w:rFonts w:hint="default" w:ascii="Times New Roman" w:hAnsi="Times New Roman" w:eastAsia="仿宋" w:cs="Times New Roman"/>
          <w:color w:val="auto"/>
          <w:spacing w:val="8"/>
          <w:sz w:val="24"/>
          <w:highlight w:val="none"/>
          <w:u w:val="single"/>
        </w:rPr>
        <w:t xml:space="preserve">苏采云系统网上注册登记成功后系统内免费下载</w:t>
      </w:r>
      <w:r>
        <w:rPr>
          <w:rFonts w:hint="default" w:ascii="Times New Roman" w:hAnsi="Times New Roman" w:eastAsia="仿宋" w:cs="Times New Roman"/>
          <w:color w:val="auto"/>
          <w:sz w:val="24"/>
          <w:highlight w:val="none"/>
        </w:rPr>
        <w:t xml:space="preserve">获取采购文件，并于</w:t>
      </w:r>
      <w:r>
        <w:rPr>
          <w:rFonts w:hint="default" w:ascii="Times New Roman" w:hAnsi="Times New Roman" w:eastAsia="仿宋" w:cs="Times New Roman"/>
          <w:b/>
          <w:bCs/>
          <w:iCs/>
          <w:color w:val="auto"/>
          <w:spacing w:val="8"/>
          <w:sz w:val="24"/>
          <w:highlight w:val="none"/>
          <w:u w:val="single"/>
        </w:rPr>
        <w:t xml:space="preserve">2025</w:t>
      </w:r>
      <w:r>
        <w:rPr>
          <w:rFonts w:hint="default" w:ascii="Times New Roman" w:hAnsi="Times New Roman" w:eastAsia="仿宋" w:cs="Times New Roman"/>
          <w:b/>
          <w:bCs/>
          <w:color w:val="auto"/>
          <w:spacing w:val="8"/>
          <w:sz w:val="24"/>
          <w:highlight w:val="none"/>
          <w:u w:val="single"/>
        </w:rPr>
        <w:t xml:space="preserve">年</w:t>
      </w:r>
      <w:r>
        <w:rPr>
          <w:rFonts w:hint="eastAsia" w:eastAsia="仿宋" w:cs="Times New Roman"/>
          <w:b/>
          <w:bCs/>
          <w:color w:val="auto"/>
          <w:spacing w:val="8"/>
          <w:sz w:val="24"/>
          <w:highlight w:val="none"/>
          <w:u w:val="single"/>
          <w:lang w:val="en-US" w:eastAsia="zh-CN"/>
        </w:rPr>
        <w:t xml:space="preserve">11</w:t>
      </w:r>
      <w:r>
        <w:rPr>
          <w:rFonts w:hint="default" w:ascii="Times New Roman" w:hAnsi="Times New Roman" w:eastAsia="仿宋" w:cs="Times New Roman"/>
          <w:b/>
          <w:bCs/>
          <w:color w:val="auto"/>
          <w:spacing w:val="8"/>
          <w:sz w:val="24"/>
          <w:highlight w:val="none"/>
          <w:u w:val="single"/>
        </w:rPr>
        <w:t xml:space="preserve">月</w:t>
      </w:r>
      <w:r>
        <w:rPr>
          <w:rFonts w:hint="eastAsia" w:eastAsia="仿宋" w:cs="Times New Roman"/>
          <w:b/>
          <w:bCs/>
          <w:color w:val="auto"/>
          <w:spacing w:val="8"/>
          <w:sz w:val="24"/>
          <w:highlight w:val="none"/>
          <w:u w:val="single"/>
          <w:lang w:val="en-US" w:eastAsia="zh-CN"/>
        </w:rPr>
        <w:t xml:space="preserve">14</w:t>
      </w:r>
      <w:r>
        <w:rPr>
          <w:rFonts w:hint="default" w:ascii="Times New Roman" w:hAnsi="Times New Roman" w:eastAsia="仿宋" w:cs="Times New Roman"/>
          <w:b/>
          <w:bCs/>
          <w:color w:val="auto"/>
          <w:spacing w:val="8"/>
          <w:sz w:val="24"/>
          <w:highlight w:val="none"/>
          <w:u w:val="single"/>
        </w:rPr>
        <w:t xml:space="preserve">日</w:t>
      </w:r>
      <w:r>
        <w:rPr>
          <w:rFonts w:hint="default" w:ascii="Times New Roman" w:hAnsi="Times New Roman" w:eastAsia="仿宋" w:cs="Times New Roman"/>
          <w:b/>
          <w:bCs/>
          <w:color w:val="auto"/>
          <w:sz w:val="24"/>
          <w:highlight w:val="none"/>
          <w:u w:val="single"/>
        </w:rPr>
        <w:t xml:space="preserve">14点00分</w:t>
      </w:r>
      <w:r>
        <w:rPr>
          <w:rFonts w:hint="default" w:ascii="Times New Roman" w:hAnsi="Times New Roman" w:eastAsia="仿宋" w:cs="Times New Roman"/>
          <w:color w:val="auto"/>
          <w:sz w:val="24"/>
          <w:highlight w:val="none"/>
        </w:rPr>
        <w:t xml:space="preserve">（北京时间）前递交投标文件。</w:t>
      </w:r>
      <w:r/>
    </w:p>
    <w:p>
      <w:pPr>
        <w:ind w:firstLine="482"/>
        <w:jc w:val="lef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一、项目基本情况</w:t>
      </w:r>
      <w:bookmarkEnd w:id="5"/>
      <w:r/>
      <w:bookmarkEnd w:id="6"/>
      <w:r/>
      <w:r/>
    </w:p>
    <w:p>
      <w:pPr>
        <w:ind w:firstLine="480"/>
        <w:spacing w:line="360" w:lineRule="auto"/>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1.1项目编号：</w:t>
      </w:r>
      <w:r>
        <w:rPr>
          <w:rFonts w:hint="eastAsia" w:eastAsia="仿宋" w:cs="Times New Roman"/>
          <w:bCs/>
          <w:color w:val="auto"/>
          <w:sz w:val="24"/>
          <w:highlight w:val="none"/>
          <w:lang w:eastAsia="zh-CN"/>
        </w:rPr>
        <w:t xml:space="preserve">JSZC-320114-NJRJ-G2025-0059</w:t>
      </w:r>
      <w:r/>
    </w:p>
    <w:p>
      <w:pPr>
        <w:ind w:firstLine="480"/>
        <w:spacing w:line="360" w:lineRule="auto"/>
        <w:rPr>
          <w:rFonts w:hint="eastAsia"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1.2项目名称：</w:t>
      </w:r>
      <w:r>
        <w:rPr>
          <w:rFonts w:hint="eastAsia" w:eastAsia="仿宋" w:cs="Times New Roman"/>
          <w:bCs/>
          <w:color w:val="auto"/>
          <w:sz w:val="24"/>
          <w:highlight w:val="none"/>
          <w:lang w:eastAsia="zh-CN"/>
        </w:rPr>
        <w:t xml:space="preserve">板桥街道四座泵站备用电源项目</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1.3预算金额：人民币</w:t>
      </w:r>
      <w:r>
        <w:rPr>
          <w:rFonts w:hint="eastAsia" w:eastAsia="仿宋" w:cs="Times New Roman"/>
          <w:bCs/>
          <w:color w:val="auto"/>
          <w:sz w:val="24"/>
          <w:highlight w:val="none"/>
          <w:lang w:val="en-US" w:eastAsia="zh-CN"/>
        </w:rPr>
        <w:t xml:space="preserve">112.009655</w:t>
      </w:r>
      <w:r>
        <w:rPr>
          <w:rFonts w:hint="default" w:ascii="Times New Roman" w:hAnsi="Times New Roman" w:eastAsia="仿宋" w:cs="Times New Roman"/>
          <w:bCs/>
          <w:color w:val="auto"/>
          <w:sz w:val="24"/>
          <w:highlight w:val="none"/>
        </w:rPr>
        <w:t xml:space="preserve">万元</w:t>
      </w:r>
      <w:r/>
    </w:p>
    <w:p>
      <w:pPr>
        <w:pStyle w:val="879"/>
        <w:ind w:firstLine="480"/>
        <w:spacing w:line="360" w:lineRule="auto"/>
        <w:rPr>
          <w:rFonts w:hint="default" w:ascii="Times New Roman" w:hAnsi="Times New Roman" w:eastAsia="仿宋" w:cs="Times New Roman"/>
          <w:bCs/>
          <w:color w:val="auto"/>
          <w:sz w:val="24"/>
          <w:szCs w:val="24"/>
          <w:highlight w:val="none"/>
          <w:lang w:val="en-US" w:eastAsia="zh-CN" w:bidi="ar-SA"/>
        </w:rPr>
      </w:pPr>
      <w:r>
        <w:rPr>
          <w:rFonts w:hint="default" w:ascii="Times New Roman" w:hAnsi="Times New Roman" w:eastAsia="仿宋" w:cs="Times New Roman"/>
          <w:bCs/>
          <w:color w:val="auto"/>
          <w:sz w:val="24"/>
          <w:szCs w:val="24"/>
          <w:highlight w:val="none"/>
        </w:rPr>
        <w:t xml:space="preserve">1.4最高限价：</w:t>
      </w:r>
      <w:r>
        <w:rPr>
          <w:rFonts w:hint="default" w:ascii="Times New Roman" w:hAnsi="Times New Roman" w:eastAsia="仿宋" w:cs="Times New Roman"/>
          <w:color w:val="auto"/>
          <w:spacing w:val="8"/>
          <w:sz w:val="24"/>
          <w:szCs w:val="24"/>
          <w:highlight w:val="none"/>
        </w:rPr>
        <w:t xml:space="preserve">人民</w:t>
      </w:r>
      <w:r>
        <w:rPr>
          <w:rFonts w:hint="default" w:ascii="Times New Roman" w:hAnsi="Times New Roman" w:eastAsia="仿宋" w:cs="Times New Roman"/>
          <w:bCs/>
          <w:color w:val="auto"/>
          <w:sz w:val="24"/>
          <w:szCs w:val="24"/>
          <w:highlight w:val="none"/>
          <w:lang w:val="en-US" w:eastAsia="zh-CN" w:bidi="ar-SA"/>
        </w:rPr>
        <w:t xml:space="preserve">币</w:t>
      </w:r>
      <w:r>
        <w:rPr>
          <w:rFonts w:hint="eastAsia" w:ascii="Times New Roman" w:eastAsia="仿宋" w:cs="Times New Roman"/>
          <w:bCs/>
          <w:color w:val="auto"/>
          <w:sz w:val="24"/>
          <w:szCs w:val="24"/>
          <w:highlight w:val="none"/>
          <w:lang w:val="en-US" w:eastAsia="zh-CN" w:bidi="ar-SA"/>
        </w:rPr>
        <w:t xml:space="preserve">112.009655</w:t>
      </w:r>
      <w:r>
        <w:rPr>
          <w:rFonts w:hint="default" w:ascii="Times New Roman" w:hAnsi="Times New Roman" w:eastAsia="仿宋" w:cs="Times New Roman"/>
          <w:bCs/>
          <w:color w:val="auto"/>
          <w:sz w:val="24"/>
          <w:szCs w:val="24"/>
          <w:highlight w:val="none"/>
          <w:lang w:val="en-US" w:eastAsia="zh-CN" w:bidi="ar-SA"/>
        </w:rPr>
        <w:t xml:space="preserve">万元</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1.5采购需求：</w:t>
      </w:r>
      <w:r>
        <w:rPr>
          <w:rFonts w:hint="eastAsia" w:ascii="仿宋" w:hAnsi="仿宋" w:eastAsia="仿宋"/>
          <w:color w:val="auto"/>
          <w:sz w:val="24"/>
          <w:lang w:eastAsia="zh-CN"/>
        </w:rPr>
        <w:t xml:space="preserve">板桥街道</w:t>
      </w:r>
      <w:r>
        <w:rPr>
          <w:rFonts w:hint="eastAsia" w:ascii="仿宋" w:hAnsi="仿宋" w:eastAsia="仿宋"/>
          <w:color w:val="auto"/>
          <w:sz w:val="24"/>
          <w:lang w:val="en-US" w:eastAsia="zh-CN"/>
        </w:rPr>
        <w:t xml:space="preserve">永安花苑泵站、老板沟泵站、新板沟泵站和小庄隧道泵站新增备用电源设备（发电机组）及双电源自动切换装置</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color w:val="auto"/>
          <w:sz w:val="24"/>
          <w:highlight w:val="none"/>
        </w:rPr>
        <w:t xml:space="preserve">具体要求详见采购文件。</w:t>
      </w:r>
      <w:r/>
    </w:p>
    <w:p>
      <w:pPr>
        <w:ind w:firstLine="480"/>
        <w:spacing w:line="360" w:lineRule="auto"/>
        <w:rPr>
          <w:rFonts w:hint="default" w:ascii="Times New Roman" w:hAnsi="Times New Roman" w:eastAsia="仿宋" w:cs="Times New Roman"/>
          <w:color w:val="auto"/>
          <w:spacing w:val="6"/>
          <w:sz w:val="24"/>
          <w:highlight w:val="none"/>
        </w:rPr>
      </w:pPr>
      <w:r>
        <w:rPr>
          <w:rFonts w:hint="default" w:ascii="Times New Roman" w:hAnsi="Times New Roman" w:eastAsia="仿宋" w:cs="Times New Roman"/>
          <w:bCs/>
          <w:color w:val="auto"/>
          <w:sz w:val="24"/>
          <w:highlight w:val="none"/>
        </w:rPr>
        <w:t xml:space="preserve">1.6合同履行期限：合同签订后</w:t>
      </w:r>
      <w:r>
        <w:rPr>
          <w:rFonts w:hint="eastAsia" w:eastAsia="仿宋" w:cs="Times New Roman"/>
          <w:bCs/>
          <w:color w:val="auto"/>
          <w:sz w:val="24"/>
          <w:highlight w:val="none"/>
          <w:lang w:val="en-US" w:eastAsia="zh-CN"/>
        </w:rPr>
        <w:t xml:space="preserve">90</w:t>
      </w:r>
      <w:r>
        <w:rPr>
          <w:rFonts w:hint="default" w:ascii="Times New Roman" w:hAnsi="Times New Roman" w:eastAsia="仿宋" w:cs="Times New Roman"/>
          <w:bCs/>
          <w:color w:val="auto"/>
          <w:sz w:val="24"/>
          <w:highlight w:val="none"/>
        </w:rPr>
        <w:t xml:space="preserve">天内交付并完成安装调试及验收</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1.7本项目标的所属行业：根据《关于印发中小企业划型标准规定的通知》（工信部联企业〔2011〕300号）及《国家统计局关于印发&lt;统计上大中小微型企业划分办法（2017）&gt;的通知》（国统字〔2017〕213号）等文件规定，本项目所属行业为工业。</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1.8本项目（是/否）接受联合体：否</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1.9是否接受进口产品：否</w:t>
      </w:r>
      <w:r/>
    </w:p>
    <w:p>
      <w:pPr>
        <w:ind w:firstLine="482"/>
        <w:jc w:val="lef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二、申请人的资格要求：</w:t>
      </w:r>
      <w:r/>
    </w:p>
    <w:p>
      <w:pPr>
        <w:ind w:firstLine="514"/>
        <w:jc w:val="left"/>
        <w:spacing w:line="360" w:lineRule="auto"/>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2.1满足《中华人民共和国政府采购法》第二十二条规定：</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（1）具有独立承担民事责任的能力；</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（2）具有良好的商业信誉和健全的财务会计制度；</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（3）具有履行合同所必需的设备和专业技术能力；</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（4）有依法缴纳税收和社会保障资金的良好记录；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（5）参加政府采购活动前三年内，在经营活动中没有重大违法记录；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（6）法律、行政法规规定的其他条件：无。</w:t>
      </w:r>
      <w:r/>
    </w:p>
    <w:p>
      <w:pPr>
        <w:ind w:firstLine="514"/>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
          <w:color w:val="auto"/>
          <w:spacing w:val="8"/>
          <w:sz w:val="24"/>
          <w:highlight w:val="none"/>
        </w:rPr>
        <w:t xml:space="preserve">2.2落实政府采购政策需满足的资格要求：</w:t>
      </w:r>
      <w:r>
        <w:rPr>
          <w:rFonts w:hint="default" w:ascii="Times New Roman" w:hAnsi="Times New Roman" w:eastAsia="仿宋" w:cs="Times New Roman"/>
          <w:bCs/>
          <w:color w:val="auto"/>
          <w:sz w:val="24"/>
          <w:highlight w:val="none"/>
        </w:rPr>
        <w:t xml:space="preserve">（如属于专门面向中小企业采购的项目，供应商应为中小微企业、监狱企业、残疾人福利单位）</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本项目按照以下第（4）种方式落实政府采购促进中小企业发展的要求：</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（1）本项目整体专门面向中小企业采购服务。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（2）本项目整体专门面向小微企业采购服务。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（3）本项目通过以下第（）种方式预留部分采购份额采购中小企业服务：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①本项目要求供应商以联合体形式参加，中小企业合同金额应当达到的比例为_%。</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②本项目要求供应商进行合同分包，中小企业合同金额应当达到的比例为_%。</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（4）本项目为非预留份额的采购项目或采购包，执行价格扣除优惠政策，具体详见第三章评标办法与标准。</w:t>
      </w:r>
      <w:r/>
    </w:p>
    <w:p>
      <w:pPr>
        <w:ind w:firstLine="514"/>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pacing w:val="8"/>
          <w:sz w:val="24"/>
          <w:highlight w:val="none"/>
        </w:rPr>
        <w:t xml:space="preserve">2.3采购人根据采购项目的特殊要求规定的特定条件，并提供符合特殊要求的证明</w:t>
      </w:r>
      <w:r>
        <w:rPr>
          <w:rFonts w:hint="default" w:ascii="Times New Roman" w:hAnsi="Times New Roman" w:eastAsia="仿宋" w:cs="Times New Roman"/>
          <w:b/>
          <w:color w:val="auto"/>
          <w:sz w:val="24"/>
          <w:highlight w:val="none"/>
        </w:rPr>
        <w:t xml:space="preserve">材料或者情况</w:t>
      </w:r>
      <w:r>
        <w:rPr>
          <w:rFonts w:hint="default" w:ascii="Times New Roman" w:hAnsi="Times New Roman" w:eastAsia="仿宋" w:cs="Times New Roman"/>
          <w:b/>
          <w:color w:val="auto"/>
          <w:spacing w:val="8"/>
          <w:sz w:val="24"/>
          <w:highlight w:val="none"/>
        </w:rPr>
        <w:t xml:space="preserve">说明：</w:t>
      </w:r>
      <w:r>
        <w:rPr>
          <w:rFonts w:hint="default" w:ascii="Times New Roman" w:hAnsi="Times New Roman" w:eastAsia="仿宋" w:cs="Times New Roman"/>
          <w:color w:val="auto"/>
          <w:sz w:val="24"/>
          <w:highlight w:val="none"/>
        </w:rPr>
        <w:t xml:space="preserve">无</w:t>
      </w:r>
      <w:r/>
    </w:p>
    <w:p>
      <w:pPr>
        <w:pStyle w:val="828"/>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2.4 第</w:t>
      </w:r>
      <w:r>
        <w:rPr>
          <w:rFonts w:hint="default" w:ascii="Times New Roman" w:hAnsi="Times New Roman" w:eastAsia="仿宋" w:cs="Times New Roman"/>
          <w:b w:val="0"/>
          <w:bCs w:val="0"/>
          <w:color w:val="auto"/>
          <w:spacing w:val="-42"/>
          <w:sz w:val="24"/>
          <w:highlight w:val="none"/>
        </w:rPr>
        <w:t xml:space="preserve"> </w:t>
      </w:r>
      <w:r>
        <w:rPr>
          <w:rFonts w:hint="default" w:ascii="Times New Roman" w:hAnsi="Times New Roman" w:eastAsia="仿宋" w:cs="Times New Roman"/>
          <w:b w:val="0"/>
          <w:bCs w:val="0"/>
          <w:color w:val="auto"/>
          <w:sz w:val="24"/>
          <w:highlight w:val="none"/>
        </w:rPr>
        <w:t xml:space="preserve">2.1（5）条所称重大违法记录，是指供应商因违法经营受到刑事处罚或者责令停产停业、吊销许可证或者执照、较大数额罚款等行政处罚。</w:t>
      </w:r>
      <w:r/>
    </w:p>
    <w:p>
      <w:pPr>
        <w:pStyle w:val="828"/>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2.5</w:t>
      </w:r>
      <w:r>
        <w:rPr>
          <w:rFonts w:hint="default" w:ascii="Times New Roman" w:hAnsi="Times New Roman" w:eastAsia="仿宋" w:cs="Times New Roman"/>
          <w:b w:val="0"/>
          <w:bCs w:val="0"/>
          <w:color w:val="auto"/>
          <w:spacing w:val="-13"/>
          <w:sz w:val="24"/>
          <w:highlight w:val="none"/>
        </w:rPr>
        <w:t xml:space="preserve"> 供应商</w:t>
      </w:r>
      <w:r>
        <w:rPr>
          <w:rFonts w:hint="default" w:ascii="Times New Roman" w:hAnsi="Times New Roman" w:eastAsia="仿宋" w:cs="Times New Roman"/>
          <w:b w:val="0"/>
          <w:bCs w:val="0"/>
          <w:color w:val="auto"/>
          <w:sz w:val="24"/>
          <w:highlight w:val="none"/>
        </w:rPr>
        <w:t xml:space="preserve">在参加政府采购活动前</w:t>
      </w:r>
      <w:r>
        <w:rPr>
          <w:rFonts w:hint="default" w:ascii="Times New Roman" w:hAnsi="Times New Roman" w:eastAsia="仿宋" w:cs="Times New Roman"/>
          <w:b w:val="0"/>
          <w:bCs w:val="0"/>
          <w:color w:val="auto"/>
          <w:spacing w:val="-68"/>
          <w:sz w:val="24"/>
          <w:highlight w:val="none"/>
        </w:rPr>
        <w:t xml:space="preserve"> </w:t>
      </w:r>
      <w:r>
        <w:rPr>
          <w:rFonts w:hint="default" w:ascii="Times New Roman" w:hAnsi="Times New Roman" w:eastAsia="仿宋" w:cs="Times New Roman"/>
          <w:b w:val="0"/>
          <w:bCs w:val="0"/>
          <w:color w:val="auto"/>
          <w:sz w:val="24"/>
          <w:highlight w:val="none"/>
        </w:rPr>
        <w:t xml:space="preserve">3</w:t>
      </w:r>
      <w:r>
        <w:rPr>
          <w:rFonts w:hint="default" w:ascii="Times New Roman" w:hAnsi="Times New Roman" w:eastAsia="仿宋" w:cs="Times New Roman"/>
          <w:b w:val="0"/>
          <w:bCs w:val="0"/>
          <w:color w:val="auto"/>
          <w:spacing w:val="-13"/>
          <w:sz w:val="24"/>
          <w:highlight w:val="none"/>
        </w:rPr>
        <w:t xml:space="preserve"> </w:t>
      </w:r>
      <w:r>
        <w:rPr>
          <w:rFonts w:hint="default" w:ascii="Times New Roman" w:hAnsi="Times New Roman" w:eastAsia="仿宋" w:cs="Times New Roman"/>
          <w:b w:val="0"/>
          <w:bCs w:val="0"/>
          <w:color w:val="auto"/>
          <w:sz w:val="24"/>
          <w:highlight w:val="none"/>
        </w:rPr>
        <w:t xml:space="preserve">年内因违法经营被禁止在一定期限内参加政府采购活动，期限届满的，可以参加政府采购活动。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2.6单位负责人为同一人或者存在直接控股、管理关系的不同供应商，不得参加同一合同项下的政府采购活动。</w:t>
      </w:r>
      <w:r/>
    </w:p>
    <w:p>
      <w:pPr>
        <w:pStyle w:val="828"/>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2.6不同投标人的法定代表人或委托代理人有夫妻、直系血亲关系的，不得参加本次采购活动。</w:t>
      </w:r>
      <w:r/>
    </w:p>
    <w:p>
      <w:pPr>
        <w:pStyle w:val="828"/>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2.7 单位负责人为同一人或者存在直接控股、管理关系的不同供应商，不得参加同一合同项下的政府采购活动。</w:t>
      </w:r>
      <w:r/>
    </w:p>
    <w:p>
      <w:pPr>
        <w:pStyle w:val="828"/>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2.8为采购项目提供整体设计、规范编制或者项目管理、监理、检测等服务的供应商，不得再参加该采购项目的其他采购活动。</w:t>
      </w:r>
      <w:r/>
    </w:p>
    <w:p>
      <w:pPr>
        <w:pStyle w:val="828"/>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2.9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三、获取招标文件</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3.1时间：自招标公告发布之日起5个工作日</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3.2地点：苏采云系统网上注册登记成功后系统内免费下载</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3.3方式：</w:t>
      </w:r>
      <w:r>
        <w:rPr>
          <w:rFonts w:hint="default" w:ascii="Times New Roman" w:hAnsi="Times New Roman" w:eastAsia="仿宋" w:cs="Times New Roman"/>
          <w:color w:val="auto"/>
          <w:sz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default" w:ascii="Times New Roman" w:hAnsi="Times New Roman" w:eastAsia="仿宋" w:cs="Times New Roman"/>
          <w:color w:val="auto"/>
          <w:spacing w:val="8"/>
          <w:sz w:val="24"/>
          <w:highlight w:val="none"/>
        </w:rPr>
        <w:t xml:space="preserve"> </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3.4售价：0.00元。</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四、提交投标文件截止时间、开标时间和地点</w:t>
      </w:r>
      <w:r/>
    </w:p>
    <w:p>
      <w:pPr>
        <w:ind w:firstLine="512"/>
        <w:spacing w:line="360" w:lineRule="auto"/>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4.1</w:t>
      </w:r>
      <w:r>
        <w:rPr>
          <w:rFonts w:hint="default" w:ascii="Times New Roman" w:hAnsi="Times New Roman" w:eastAsia="仿宋" w:cs="Times New Roman"/>
          <w:color w:val="auto"/>
          <w:spacing w:val="15"/>
          <w:sz w:val="24"/>
          <w:highlight w:val="none"/>
          <w:shd w:val="clear" w:color="auto" w:fill="ffffff"/>
        </w:rPr>
        <w:t xml:space="preserve">提交投标文件截止时间、开标时间：</w:t>
      </w:r>
      <w:r>
        <w:rPr>
          <w:rFonts w:hint="default" w:ascii="Times New Roman" w:hAnsi="Times New Roman" w:eastAsia="仿宋" w:cs="Times New Roman"/>
          <w:b/>
          <w:bCs/>
          <w:color w:val="auto"/>
          <w:sz w:val="24"/>
          <w:highlight w:val="none"/>
        </w:rPr>
        <w:t xml:space="preserve">2025</w:t>
      </w:r>
      <w:r>
        <w:rPr>
          <w:rFonts w:hint="default" w:ascii="Times New Roman" w:hAnsi="Times New Roman" w:eastAsia="仿宋" w:cs="Times New Roman"/>
          <w:b/>
          <w:bCs/>
          <w:color w:val="auto"/>
          <w:spacing w:val="8"/>
          <w:sz w:val="24"/>
          <w:highlight w:val="none"/>
        </w:rPr>
        <w:t xml:space="preserve">年</w:t>
      </w:r>
      <w:r>
        <w:rPr>
          <w:rFonts w:hint="eastAsia" w:eastAsia="仿宋" w:cs="Times New Roman"/>
          <w:b/>
          <w:bCs/>
          <w:color w:val="auto"/>
          <w:spacing w:val="8"/>
          <w:sz w:val="24"/>
          <w:highlight w:val="none"/>
          <w:lang w:val="en-US" w:eastAsia="zh-CN"/>
        </w:rPr>
        <w:t xml:space="preserve">11</w:t>
      </w:r>
      <w:r>
        <w:rPr>
          <w:rFonts w:hint="default" w:ascii="Times New Roman" w:hAnsi="Times New Roman" w:eastAsia="仿宋" w:cs="Times New Roman"/>
          <w:b/>
          <w:bCs/>
          <w:color w:val="auto"/>
          <w:spacing w:val="8"/>
          <w:sz w:val="24"/>
          <w:highlight w:val="none"/>
        </w:rPr>
        <w:t xml:space="preserve">月</w:t>
      </w:r>
      <w:r>
        <w:rPr>
          <w:rFonts w:hint="eastAsia" w:eastAsia="仿宋" w:cs="Times New Roman"/>
          <w:b/>
          <w:bCs/>
          <w:color w:val="auto"/>
          <w:spacing w:val="8"/>
          <w:sz w:val="24"/>
          <w:highlight w:val="none"/>
          <w:lang w:val="en-US" w:eastAsia="zh-CN"/>
        </w:rPr>
        <w:t xml:space="preserve">14</w:t>
      </w:r>
      <w:r>
        <w:rPr>
          <w:rFonts w:hint="default" w:ascii="Times New Roman" w:hAnsi="Times New Roman" w:eastAsia="仿宋" w:cs="Times New Roman"/>
          <w:b/>
          <w:bCs/>
          <w:color w:val="auto"/>
          <w:spacing w:val="8"/>
          <w:sz w:val="24"/>
          <w:highlight w:val="none"/>
        </w:rPr>
        <w:t xml:space="preserve">日14点00分</w:t>
      </w:r>
      <w:r>
        <w:rPr>
          <w:rFonts w:hint="default" w:ascii="Times New Roman" w:hAnsi="Times New Roman" w:eastAsia="仿宋" w:cs="Times New Roman"/>
          <w:color w:val="auto"/>
          <w:spacing w:val="8"/>
          <w:sz w:val="24"/>
          <w:highlight w:val="none"/>
        </w:rPr>
        <w:t xml:space="preserve">（北京时间）</w:t>
      </w:r>
      <w:r/>
    </w:p>
    <w:p>
      <w:pPr>
        <w:pStyle w:val="861"/>
        <w:ind w:firstLine="540"/>
        <w:spacing w:before="0" w:beforeAutospacing="0" w:after="0" w:afterAutospacing="0" w:line="360" w:lineRule="auto"/>
        <w:rPr>
          <w:rFonts w:hint="default" w:ascii="Times New Roman" w:hAnsi="Times New Roman" w:eastAsia="仿宋" w:cs="Times New Roman"/>
          <w:color w:val="auto"/>
          <w:spacing w:val="15"/>
          <w:highlight w:val="none"/>
          <w:shd w:val="clear" w:color="auto" w:fill="ffffff"/>
        </w:rPr>
      </w:pPr>
      <w:r>
        <w:rPr>
          <w:rFonts w:hint="default" w:ascii="Times New Roman" w:hAnsi="Times New Roman" w:eastAsia="仿宋" w:cs="Times New Roman"/>
          <w:color w:val="auto"/>
          <w:spacing w:val="15"/>
          <w:highlight w:val="none"/>
          <w:shd w:val="clear" w:color="auto" w:fill="ffffff"/>
        </w:rPr>
        <w:t xml:space="preserve">4.2提交投标文件地点：江苏省政府采购管理交易系统（苏采云）（以下简称“苏采云”）（网址： http://jszfcg.jsczt.cn/）</w:t>
      </w:r>
      <w:r/>
    </w:p>
    <w:p>
      <w:pPr>
        <w:pStyle w:val="861"/>
        <w:ind w:firstLine="540"/>
        <w:spacing w:before="0" w:beforeAutospacing="0" w:after="0" w:afterAutospacing="0" w:line="360" w:lineRule="auto"/>
        <w:rPr>
          <w:rFonts w:hint="default" w:ascii="Times New Roman" w:hAnsi="Times New Roman" w:eastAsia="仿宋" w:cs="Times New Roman"/>
          <w:color w:val="auto"/>
          <w:spacing w:val="15"/>
          <w:highlight w:val="none"/>
          <w:shd w:val="clear" w:color="auto" w:fill="ffffff"/>
        </w:rPr>
      </w:pPr>
      <w:r>
        <w:rPr>
          <w:rFonts w:hint="default" w:ascii="Times New Roman" w:hAnsi="Times New Roman" w:eastAsia="仿宋" w:cs="Times New Roman"/>
          <w:color w:val="auto"/>
          <w:spacing w:val="15"/>
          <w:highlight w:val="none"/>
          <w:shd w:val="clear" w:color="auto" w:fill="ffffff"/>
        </w:rPr>
        <w:t xml:space="preserve">4.3开标地点：“苏采云”网上开标大厅。</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五、公告期限</w:t>
      </w:r>
      <w:r/>
    </w:p>
    <w:p>
      <w:pPr>
        <w:ind w:firstLine="512"/>
        <w:spacing w:line="360" w:lineRule="auto"/>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自本公告发布之日起5个工作日。</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六、其他补充事宜</w:t>
      </w:r>
      <w:r/>
    </w:p>
    <w:p>
      <w:pPr>
        <w:ind w:firstLine="480"/>
        <w:spacing w:line="360" w:lineRule="auto"/>
        <w:shd w:val="clear" w:color="auto" w:fill="ffffff" w:themeFill="background1"/>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6.1</w:t>
      </w:r>
      <w:r>
        <w:rPr>
          <w:rFonts w:hint="default" w:ascii="Times New Roman" w:hAnsi="Times New Roman" w:eastAsia="仿宋" w:cs="Times New Roman"/>
          <w:bCs/>
          <w:color w:val="auto"/>
          <w:sz w:val="24"/>
          <w:highlight w:val="none"/>
        </w:rPr>
        <w:t xml:space="preserve">本采购公告在江苏政府采购网（http://www.ccgp-jiangsu.gov.cn/）、南京公共采购信息网（https://njgc.jfh.com/）公示发布，敬请各供应商关注</w:t>
      </w:r>
      <w:r>
        <w:rPr>
          <w:rFonts w:hint="default" w:ascii="Times New Roman" w:hAnsi="Times New Roman" w:eastAsia="仿宋" w:cs="Times New Roman"/>
          <w:color w:val="auto"/>
          <w:sz w:val="24"/>
          <w:highlight w:val="none"/>
          <w:lang w:val="zh-CN"/>
        </w:rPr>
        <w:t xml:space="preserve">。</w:t>
      </w:r>
      <w:r/>
    </w:p>
    <w:p>
      <w:pPr>
        <w:pStyle w:val="1031"/>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color w:val="auto"/>
          <w:sz w:val="24"/>
          <w:highlight w:val="none"/>
          <w:lang w:val="zh-CN"/>
        </w:rPr>
        <w:t xml:space="preserve">6.</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bCs/>
          <w:color w:val="auto"/>
          <w:sz w:val="24"/>
          <w:highlight w:val="none"/>
        </w:rPr>
        <w:t xml:space="preserve">勘察现场：采购人不集中组织，供应商可自行考察。</w:t>
      </w:r>
      <w:r/>
    </w:p>
    <w:p>
      <w:pPr>
        <w:ind w:firstLine="480"/>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Cs/>
          <w:color w:val="auto"/>
          <w:sz w:val="24"/>
          <w:highlight w:val="none"/>
        </w:rPr>
        <w:t xml:space="preserve">6.4</w:t>
      </w:r>
      <w:r>
        <w:rPr>
          <w:rFonts w:hint="default" w:ascii="Times New Roman" w:hAnsi="Times New Roman" w:eastAsia="仿宋" w:cs="Times New Roman"/>
          <w:b/>
          <w:bCs/>
          <w:color w:val="auto"/>
          <w:sz w:val="24"/>
          <w:highlight w:val="none"/>
        </w:rPr>
        <w:t xml:space="preserve">潜在供应商访问政府采购管理交易系统（苏采云）的网络地址和方法：</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3）“CA数字证书”的办理材料以及供应商操作手册详见：http://jsxcmm.com/help/gys.html。</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4）潜在供应商访问“苏采云”系统的网络地址和方法：“苏采云”系统的网址：http://jszfcg.jsczt.cn/jszc/login。</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6）招标代理机构（采购代理机构）将数据电文形式的采购文件加载至“苏采云”系统，供潜在供应商下载或者查阅。    </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7）苏采云系统使用谷歌浏览器参与不见面开标。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“苏采云”南京地区客服热线025-83633744、025-83633743。</w:t>
      </w:r>
      <w:r/>
    </w:p>
    <w:p>
      <w:pPr>
        <w:ind w:firstLine="482"/>
        <w:spacing w:line="360" w:lineRule="auto"/>
        <w:shd w:val="clear" w:color="auto" w:fill="ffffff" w:themeFill="background1"/>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6.</w:t>
      </w:r>
      <w:r>
        <w:rPr>
          <w:rFonts w:hint="default" w:ascii="Times New Roman" w:hAnsi="Times New Roman" w:eastAsia="仿宋" w:cs="Times New Roman"/>
          <w:b/>
          <w:bCs/>
          <w:color w:val="auto"/>
          <w:sz w:val="24"/>
          <w:highlight w:val="none"/>
        </w:rPr>
        <w:t xml:space="preserve">5政府采购信用承诺</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根据《关于在政府采购活动中推行信用承诺制的通知》宁财购通〔2021〕5号规定，</w:t>
      </w:r>
      <w:r>
        <w:rPr>
          <w:rFonts w:hint="default" w:ascii="Times New Roman" w:hAnsi="Times New Roman" w:eastAsia="仿宋" w:cs="Times New Roman"/>
          <w:color w:val="auto"/>
          <w:sz w:val="24"/>
          <w:highlight w:val="none"/>
        </w:rPr>
        <w:t xml:space="preserve">参加</w:t>
      </w:r>
      <w:r>
        <w:rPr>
          <w:rFonts w:hint="default" w:ascii="Times New Roman" w:hAnsi="Times New Roman" w:eastAsia="仿宋" w:cs="Times New Roman"/>
          <w:color w:val="auto"/>
          <w:sz w:val="24"/>
          <w:highlight w:val="none"/>
          <w:lang w:val="zh-CN"/>
        </w:rPr>
        <w:t xml:space="preserve">南京地区采购活动的供应商，应以书面形式向采购人或政府采购代理机构作出信用承诺。供应商应尽早做好承诺工作，点击“南京公共采购信息网”</w:t>
      </w:r>
      <w:r>
        <w:rPr>
          <w:rFonts w:hint="default" w:ascii="Times New Roman" w:hAnsi="Times New Roman" w:eastAsia="仿宋" w:cs="Times New Roman"/>
          <w:color w:val="auto"/>
          <w:sz w:val="24"/>
          <w:highlight w:val="none"/>
        </w:rPr>
        <w:t xml:space="preserve">首页</w:t>
      </w:r>
      <w:r>
        <w:rPr>
          <w:rFonts w:hint="default" w:ascii="Times New Roman" w:hAnsi="Times New Roman" w:eastAsia="仿宋" w:cs="Times New Roman"/>
          <w:color w:val="auto"/>
          <w:sz w:val="24"/>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eastAsia="仿宋" w:cs="Times New Roman"/>
          <w:b/>
          <w:bCs/>
          <w:color w:val="auto"/>
          <w:sz w:val="24"/>
          <w:highlight w:val="none"/>
          <w:lang w:val="zh-CN"/>
        </w:rPr>
        <w:t xml:space="preserve">由</w:t>
      </w:r>
      <w:r>
        <w:rPr>
          <w:rFonts w:hint="default" w:ascii="Times New Roman" w:hAnsi="Times New Roman" w:eastAsia="仿宋" w:cs="Times New Roman"/>
          <w:b/>
          <w:bCs/>
          <w:color w:val="auto"/>
          <w:sz w:val="24"/>
          <w:highlight w:val="none"/>
        </w:rPr>
        <w:t xml:space="preserve">法定代表人</w:t>
      </w:r>
      <w:r>
        <w:rPr>
          <w:rFonts w:hint="default" w:ascii="Times New Roman" w:hAnsi="Times New Roman" w:eastAsia="仿宋" w:cs="Times New Roman"/>
          <w:b/>
          <w:bCs/>
          <w:color w:val="auto"/>
          <w:sz w:val="24"/>
          <w:highlight w:val="none"/>
          <w:lang w:val="zh-CN"/>
        </w:rPr>
        <w:t xml:space="preserve">签字并盖单位</w:t>
      </w:r>
      <w:r>
        <w:rPr>
          <w:rFonts w:hint="default" w:ascii="Times New Roman" w:hAnsi="Times New Roman" w:eastAsia="仿宋" w:cs="Times New Roman"/>
          <w:b/>
          <w:bCs/>
          <w:color w:val="auto"/>
          <w:sz w:val="24"/>
          <w:highlight w:val="none"/>
        </w:rPr>
        <w:t xml:space="preserve">电子</w:t>
      </w:r>
      <w:r>
        <w:rPr>
          <w:rFonts w:hint="default" w:ascii="Times New Roman" w:hAnsi="Times New Roman" w:eastAsia="仿宋" w:cs="Times New Roman"/>
          <w:b/>
          <w:bCs/>
          <w:color w:val="auto"/>
          <w:sz w:val="24"/>
          <w:highlight w:val="none"/>
          <w:lang w:val="zh-CN"/>
        </w:rPr>
        <w:t xml:space="preserve">公章，</w:t>
      </w:r>
      <w:r>
        <w:rPr>
          <w:rFonts w:hint="default" w:ascii="Times New Roman" w:hAnsi="Times New Roman" w:eastAsia="仿宋" w:cs="Times New Roman"/>
          <w:b/>
          <w:bCs/>
          <w:color w:val="auto"/>
          <w:sz w:val="24"/>
          <w:highlight w:val="none"/>
        </w:rPr>
        <w:t xml:space="preserve">随电子投标文件一并递交。</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在政府采购资格审查环节，供应商只需提供书面《南京市政府采购供应商信用记录表暨信用承诺书》，即可替代以下证明材料：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（1）符合国家相关规定的财务状况报告；</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（2）依法缴纳税收的证明材料；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（3）依法缴纳社会保障资金的证明材料；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（4）具备履行政府采购合同所必需的设备和专业技术能力的证明材料；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（5）参加政府采购活动前三年内在经营活动中没有重大违法记录的证明材料；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（6）未被列入失信被执行人、重大税收违法失信主体、政府采购严重违法失信行为记录名单的证明材料。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供应商涉及以下情形的，不适用信用承诺：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（1）供应商被列入严重失信主体名单；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（2）被相关监管部门作出行政处罚且尚在处罚有效期内；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（3）其他法律、行政法规规定的不适用信用承诺的情形。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供应商对信用承诺内容的真实性、合法性、有效性负责。如作出虚假信用承诺，视同为“提供虚假材料谋取中标、成交”的违法行为。</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6.6采购项目需要落实的政府采购政策</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（1）政府采购促进中小企业发展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（2）政府采购支持监狱企业发展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（3）政府采购促进残疾人就业</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（4）政府采购鼓励采购节能环保产品</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七、对本次招标提出询问，请按以下方式联系</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7.1采购人信息</w:t>
      </w:r>
      <w:r/>
    </w:p>
    <w:p>
      <w:pPr>
        <w:ind w:firstLine="480"/>
        <w:spacing w:line="360" w:lineRule="auto"/>
        <w:widowControl/>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名称：</w:t>
      </w:r>
      <w:r>
        <w:rPr>
          <w:rFonts w:hint="eastAsia" w:eastAsia="仿宋" w:cs="Times New Roman"/>
          <w:bCs/>
          <w:color w:val="auto"/>
          <w:sz w:val="24"/>
          <w:highlight w:val="none"/>
          <w:lang w:eastAsia="zh-CN"/>
        </w:rPr>
        <w:t xml:space="preserve">南京市雨花台区人民政府板桥街道办事处</w:t>
      </w:r>
      <w:r/>
    </w:p>
    <w:p>
      <w:pPr>
        <w:ind w:firstLine="480"/>
        <w:spacing w:line="360" w:lineRule="auto"/>
        <w:widowControl/>
        <w:rPr>
          <w:rFonts w:hint="default" w:ascii="Times New Roman" w:hAnsi="Times New Roman" w:eastAsia="仿宋" w:cs="Times New Roman"/>
          <w:color w:val="auto"/>
          <w:spacing w:val="-2"/>
          <w:sz w:val="24"/>
          <w:highlight w:val="none"/>
        </w:rPr>
      </w:pPr>
      <w:r>
        <w:rPr>
          <w:rFonts w:hint="default" w:ascii="Times New Roman" w:hAnsi="Times New Roman" w:eastAsia="仿宋" w:cs="Times New Roman"/>
          <w:bCs/>
          <w:color w:val="auto"/>
          <w:sz w:val="24"/>
          <w:highlight w:val="none"/>
        </w:rPr>
        <w:t xml:space="preserve">地址：</w:t>
      </w:r>
      <w:r>
        <w:rPr>
          <w:rFonts w:hint="default" w:ascii="Times New Roman" w:hAnsi="Times New Roman" w:eastAsia="仿宋" w:cs="Times New Roman"/>
          <w:color w:val="auto"/>
          <w:sz w:val="24"/>
          <w:highlight w:val="none"/>
        </w:rPr>
        <w:t xml:space="preserve">南京市雨花台区雨花东路1号</w:t>
      </w:r>
      <w:r/>
    </w:p>
    <w:p>
      <w:pPr>
        <w:ind w:firstLine="480"/>
        <w:spacing w:line="360" w:lineRule="auto"/>
        <w:widowControl/>
        <w:rPr>
          <w:rFonts w:hint="default" w:ascii="Times New Roman" w:hAnsi="Times New Roman" w:eastAsia="仿宋" w:cs="Times New Roman"/>
          <w:bCs/>
          <w:color w:val="auto"/>
          <w:sz w:val="24"/>
          <w:highlight w:val="none"/>
          <w:lang w:val="en-US" w:eastAsia="zh-CN"/>
        </w:rPr>
      </w:pPr>
      <w:r>
        <w:rPr>
          <w:rFonts w:hint="default" w:ascii="Times New Roman" w:hAnsi="Times New Roman" w:eastAsia="仿宋" w:cs="Times New Roman"/>
          <w:bCs/>
          <w:color w:val="auto"/>
          <w:sz w:val="24"/>
          <w:highlight w:val="none"/>
        </w:rPr>
        <w:t xml:space="preserve">联系人：</w:t>
      </w:r>
      <w:r>
        <w:rPr>
          <w:rFonts w:hint="eastAsia" w:ascii="Times New Roman" w:hAnsi="Times New Roman" w:eastAsia="仿宋" w:cs="Times New Roman"/>
          <w:bCs/>
          <w:color w:val="auto"/>
          <w:sz w:val="24"/>
          <w:highlight w:val="none"/>
          <w:lang w:val="en-US" w:eastAsia="zh-CN"/>
        </w:rPr>
        <w:t xml:space="preserve">杨章旭</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联系电话：</w:t>
      </w:r>
      <w:r>
        <w:rPr>
          <w:rFonts w:hint="eastAsia" w:eastAsia="仿宋" w:cs="Times New Roman"/>
          <w:bCs/>
          <w:color w:val="auto"/>
          <w:sz w:val="24"/>
          <w:highlight w:val="none"/>
          <w:lang w:val="en-US" w:eastAsia="zh-CN"/>
        </w:rPr>
        <w:t xml:space="preserve">025-</w:t>
      </w:r>
      <w:r>
        <w:rPr>
          <w:rFonts w:hint="default" w:ascii="Times New Roman" w:hAnsi="Times New Roman" w:eastAsia="仿宋" w:cs="Times New Roman"/>
          <w:bCs/>
          <w:color w:val="auto"/>
          <w:sz w:val="24"/>
          <w:highlight w:val="none"/>
        </w:rPr>
        <w:t xml:space="preserve">86732263</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7.2采购代理机构信息</w:t>
      </w:r>
      <w:r/>
    </w:p>
    <w:p>
      <w:pPr>
        <w:ind w:firstLine="480"/>
        <w:spacing w:line="360" w:lineRule="auto"/>
        <w:widowControl/>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名称：</w:t>
      </w:r>
      <w:r>
        <w:rPr>
          <w:rFonts w:hint="eastAsia" w:eastAsia="仿宋" w:cs="Times New Roman"/>
          <w:bCs/>
          <w:color w:val="auto"/>
          <w:sz w:val="24"/>
          <w:highlight w:val="none"/>
          <w:lang w:eastAsia="zh-CN"/>
        </w:rPr>
        <w:t xml:space="preserve">南京瑞嘉建设项目管理有限公司</w:t>
      </w:r>
      <w:r/>
    </w:p>
    <w:p>
      <w:pPr>
        <w:ind w:firstLine="480"/>
        <w:spacing w:line="360" w:lineRule="auto"/>
        <w:widowControl/>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地址：</w:t>
      </w:r>
      <w:r>
        <w:rPr>
          <w:rFonts w:hint="eastAsia" w:eastAsia="仿宋" w:cs="Times New Roman"/>
          <w:bCs/>
          <w:color w:val="auto"/>
          <w:sz w:val="24"/>
          <w:highlight w:val="none"/>
          <w:lang w:eastAsia="zh-CN"/>
        </w:rPr>
        <w:t xml:space="preserve">南京市栖霞区石狮路12号绿地云都会大厦2幢703室（南京地铁2号线4号线金马路站上盖建筑）</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联系人：王工</w:t>
      </w:r>
      <w:r/>
    </w:p>
    <w:p>
      <w:pPr>
        <w:ind w:firstLine="480"/>
        <w:spacing w:line="360" w:lineRule="auto"/>
        <w:widowControl/>
        <w:rPr>
          <w:rFonts w:hint="default" w:ascii="Times New Roman" w:hAnsi="Times New Roman" w:eastAsia="仿宋" w:cs="Times New Roman"/>
          <w:color w:val="auto"/>
          <w:highlight w:val="none"/>
        </w:rPr>
      </w:pPr>
      <w:r>
        <w:rPr>
          <w:rFonts w:hint="default" w:ascii="Times New Roman" w:hAnsi="Times New Roman" w:eastAsia="仿宋" w:cs="Times New Roman"/>
          <w:bCs/>
          <w:color w:val="auto"/>
          <w:sz w:val="24"/>
          <w:highlight w:val="none"/>
        </w:rPr>
        <w:t xml:space="preserve">联系方式：</w:t>
      </w:r>
      <w:r>
        <w:rPr>
          <w:rFonts w:hint="eastAsia" w:eastAsia="仿宋" w:cs="Times New Roman"/>
          <w:bCs/>
          <w:color w:val="auto"/>
          <w:sz w:val="24"/>
          <w:highlight w:val="none"/>
          <w:lang w:val="en-US" w:eastAsia="zh-CN"/>
        </w:rPr>
        <w:t xml:space="preserve">17355009262</w:t>
      </w:r>
      <w:r>
        <w:rPr>
          <w:rFonts w:hint="default" w:ascii="Times New Roman" w:hAnsi="Times New Roman" w:eastAsia="仿宋" w:cs="Times New Roman"/>
          <w:color w:val="auto"/>
          <w:highlight w:val="none"/>
        </w:rPr>
        <w:br w:type="page" w:clear="all"/>
      </w:r>
      <w:r/>
    </w:p>
    <w:p>
      <w:pPr>
        <w:pStyle w:val="817"/>
        <w:spacing w:line="360" w:lineRule="auto"/>
        <w:rPr>
          <w:rFonts w:hint="default" w:ascii="Times New Roman" w:hAnsi="Times New Roman" w:eastAsia="仿宋" w:cs="Times New Roman"/>
          <w:color w:val="auto"/>
          <w:highlight w:val="none"/>
        </w:rPr>
      </w:pPr>
      <w:r/>
      <w:bookmarkStart w:id="9" w:name="_Toc30136"/>
      <w:r/>
      <w:bookmarkStart w:id="10" w:name="_Toc20990"/>
      <w:r/>
      <w:bookmarkStart w:id="11" w:name="_Toc452625218"/>
      <w:r>
        <w:rPr>
          <w:rFonts w:hint="default" w:ascii="Times New Roman" w:hAnsi="Times New Roman" w:eastAsia="仿宋" w:cs="Times New Roman"/>
          <w:color w:val="auto"/>
          <w:highlight w:val="none"/>
        </w:rPr>
        <w:t xml:space="preserve">投标人须知</w:t>
      </w:r>
      <w:bookmarkEnd w:id="9"/>
      <w:r/>
      <w:bookmarkEnd w:id="10"/>
      <w:r/>
      <w:bookmarkEnd w:id="11"/>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2" w:name="_Toc31978"/>
      <w:r/>
      <w:bookmarkStart w:id="13" w:name="_Toc17615"/>
      <w:r/>
      <w:bookmarkStart w:id="14" w:name="_Toc28809"/>
      <w:r/>
      <w:bookmarkStart w:id="15" w:name="_Toc23792"/>
      <w:r>
        <w:rPr>
          <w:rFonts w:hint="default" w:ascii="Times New Roman" w:hAnsi="Times New Roman" w:eastAsia="仿宋" w:cs="Times New Roman"/>
          <w:b/>
          <w:bCs/>
          <w:color w:val="auto"/>
          <w:sz w:val="24"/>
          <w:highlight w:val="none"/>
        </w:rPr>
        <w:t xml:space="preserve">一、总 则</w:t>
      </w:r>
      <w:bookmarkEnd w:id="12"/>
      <w:r/>
      <w:bookmarkEnd w:id="13"/>
      <w:r/>
      <w:bookmarkEnd w:id="14"/>
      <w:r/>
      <w:bookmarkEnd w:id="15"/>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6" w:name="_Toc11829"/>
      <w:r/>
      <w:bookmarkStart w:id="17" w:name="_Toc23597"/>
      <w:r/>
      <w:bookmarkStart w:id="18" w:name="_Toc13952"/>
      <w:r/>
      <w:bookmarkStart w:id="19" w:name="_Toc15240"/>
      <w:r>
        <w:rPr>
          <w:rFonts w:hint="default" w:ascii="Times New Roman" w:hAnsi="Times New Roman" w:eastAsia="仿宋" w:cs="Times New Roman"/>
          <w:b/>
          <w:bCs/>
          <w:color w:val="auto"/>
          <w:sz w:val="24"/>
          <w:highlight w:val="none"/>
        </w:rPr>
        <w:t xml:space="preserve">1、适用法律</w:t>
      </w:r>
      <w:bookmarkEnd w:id="16"/>
      <w:r/>
      <w:bookmarkEnd w:id="17"/>
      <w:r/>
      <w:bookmarkEnd w:id="18"/>
      <w:r/>
      <w:bookmarkEnd w:id="1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20" w:name="_Toc25910"/>
      <w:r/>
      <w:bookmarkStart w:id="21" w:name="_Toc3963"/>
      <w:r/>
      <w:bookmarkStart w:id="22" w:name="_Toc24623"/>
      <w:r/>
      <w:bookmarkStart w:id="23" w:name="_Toc10278"/>
      <w:r>
        <w:rPr>
          <w:rFonts w:hint="default" w:ascii="Times New Roman" w:hAnsi="Times New Roman" w:eastAsia="仿宋" w:cs="Times New Roman"/>
          <w:b/>
          <w:bCs/>
          <w:color w:val="auto"/>
          <w:sz w:val="24"/>
          <w:highlight w:val="none"/>
        </w:rPr>
        <w:t xml:space="preserve">2、定义</w:t>
      </w:r>
      <w:bookmarkEnd w:id="20"/>
      <w:r/>
      <w:bookmarkEnd w:id="21"/>
      <w:r/>
      <w:bookmarkEnd w:id="22"/>
      <w:r/>
      <w:bookmarkEnd w:id="2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2.1“采购人”是指依法进行政府采购的国家机关、事业单位、团体组织。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2.4“货物和服务”指本招标文件中所述</w:t>
      </w:r>
      <w:r>
        <w:rPr>
          <w:rFonts w:hint="default" w:ascii="Times New Roman" w:hAnsi="Times New Roman" w:eastAsia="仿宋" w:cs="Times New Roman"/>
          <w:bCs/>
          <w:color w:val="auto"/>
          <w:sz w:val="24"/>
          <w:highlight w:val="none"/>
        </w:rPr>
        <w:t xml:space="preserve">产品</w:t>
      </w:r>
      <w:r>
        <w:rPr>
          <w:rFonts w:hint="default" w:ascii="Times New Roman" w:hAnsi="Times New Roman" w:eastAsia="仿宋" w:cs="Times New Roman"/>
          <w:color w:val="auto"/>
          <w:sz w:val="24"/>
          <w:highlight w:val="none"/>
        </w:rPr>
        <w:t xml:space="preserve">及相关服务。</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2.5“用户或使用单位”是指使用货物，接受服务的单位。</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24" w:name="_Toc22315"/>
      <w:r/>
      <w:bookmarkStart w:id="25" w:name="_Toc22929"/>
      <w:r/>
      <w:bookmarkStart w:id="26" w:name="_Toc30814"/>
      <w:r/>
      <w:bookmarkStart w:id="27" w:name="_Toc4427"/>
      <w:r>
        <w:rPr>
          <w:rFonts w:hint="default" w:ascii="Times New Roman" w:hAnsi="Times New Roman" w:eastAsia="仿宋" w:cs="Times New Roman"/>
          <w:b/>
          <w:bCs/>
          <w:color w:val="auto"/>
          <w:sz w:val="24"/>
          <w:highlight w:val="none"/>
        </w:rPr>
        <w:t xml:space="preserve">3、政策功能</w:t>
      </w:r>
      <w:bookmarkEnd w:id="24"/>
      <w:r/>
      <w:bookmarkEnd w:id="25"/>
      <w:r/>
      <w:bookmarkEnd w:id="26"/>
      <w:r/>
      <w:bookmarkEnd w:id="2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3.6未按要求提供相关材料的，不享受相关政策。</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28" w:name="_Toc7852"/>
      <w:r/>
      <w:bookmarkStart w:id="29" w:name="_Toc26222"/>
      <w:r/>
      <w:bookmarkStart w:id="30" w:name="_Toc4724"/>
      <w:r/>
      <w:bookmarkStart w:id="31" w:name="_Toc25901"/>
      <w:r>
        <w:rPr>
          <w:rFonts w:hint="default" w:ascii="Times New Roman" w:hAnsi="Times New Roman" w:eastAsia="仿宋" w:cs="Times New Roman"/>
          <w:b/>
          <w:bCs/>
          <w:color w:val="auto"/>
          <w:sz w:val="24"/>
          <w:highlight w:val="none"/>
        </w:rPr>
        <w:t xml:space="preserve">二、招标文件构成</w:t>
      </w:r>
      <w:bookmarkEnd w:id="28"/>
      <w:r/>
      <w:bookmarkEnd w:id="29"/>
      <w:r/>
      <w:bookmarkEnd w:id="30"/>
      <w:r/>
      <w:bookmarkEnd w:id="31"/>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32" w:name="_Toc30101"/>
      <w:r/>
      <w:bookmarkStart w:id="33" w:name="_Toc21181"/>
      <w:r/>
      <w:bookmarkStart w:id="34" w:name="_Toc15857"/>
      <w:r/>
      <w:bookmarkStart w:id="35" w:name="_Toc6166"/>
      <w:r>
        <w:rPr>
          <w:rFonts w:hint="default" w:ascii="Times New Roman" w:hAnsi="Times New Roman" w:eastAsia="仿宋" w:cs="Times New Roman"/>
          <w:b/>
          <w:bCs/>
          <w:color w:val="auto"/>
          <w:sz w:val="24"/>
          <w:highlight w:val="none"/>
        </w:rPr>
        <w:t xml:space="preserve">4、招标文件组成</w:t>
      </w:r>
      <w:bookmarkEnd w:id="32"/>
      <w:r/>
      <w:bookmarkEnd w:id="33"/>
      <w:r/>
      <w:bookmarkEnd w:id="34"/>
      <w:r/>
      <w:bookmarkEnd w:id="3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4.1招标文件包括以下主要内容：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（1）招标公告；</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（2）投标人须知；</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（3）评标标准；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（4）采购需求；</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（5）合同主要条款及格式；</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（6）投标文件格式及附件。</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36" w:name="_Toc6627"/>
      <w:r/>
      <w:bookmarkStart w:id="37" w:name="_Toc3811"/>
      <w:r/>
      <w:bookmarkStart w:id="38" w:name="_Toc1163"/>
      <w:r/>
      <w:bookmarkStart w:id="39" w:name="_Toc19029"/>
      <w:r>
        <w:rPr>
          <w:rFonts w:hint="default" w:ascii="Times New Roman" w:hAnsi="Times New Roman" w:eastAsia="仿宋" w:cs="Times New Roman"/>
          <w:b/>
          <w:bCs/>
          <w:color w:val="auto"/>
          <w:sz w:val="24"/>
          <w:highlight w:val="none"/>
        </w:rPr>
        <w:t xml:space="preserve">5、招标文件的澄清或者修改</w:t>
      </w:r>
      <w:bookmarkEnd w:id="36"/>
      <w:r/>
      <w:bookmarkEnd w:id="37"/>
      <w:r/>
      <w:bookmarkEnd w:id="38"/>
      <w:r/>
      <w:bookmarkEnd w:id="3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40" w:name="_Toc1218"/>
      <w:r/>
      <w:bookmarkStart w:id="41" w:name="_Toc20766"/>
      <w:r/>
      <w:bookmarkStart w:id="42" w:name="_Toc2329"/>
      <w:r/>
      <w:bookmarkStart w:id="43" w:name="_Toc27217"/>
      <w:r>
        <w:rPr>
          <w:rFonts w:hint="default" w:ascii="Times New Roman" w:hAnsi="Times New Roman" w:eastAsia="仿宋" w:cs="Times New Roman"/>
          <w:b/>
          <w:bCs/>
          <w:color w:val="auto"/>
          <w:sz w:val="24"/>
          <w:highlight w:val="none"/>
        </w:rPr>
        <w:t xml:space="preserve">三、投标文件的编制</w:t>
      </w:r>
      <w:bookmarkEnd w:id="40"/>
      <w:r/>
      <w:bookmarkEnd w:id="41"/>
      <w:r/>
      <w:bookmarkEnd w:id="42"/>
      <w:r/>
      <w:bookmarkEnd w:id="43"/>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44" w:name="_Toc3383"/>
      <w:r/>
      <w:bookmarkStart w:id="45" w:name="_Toc22360"/>
      <w:r/>
      <w:bookmarkStart w:id="46" w:name="_Toc29450"/>
      <w:r/>
      <w:bookmarkStart w:id="47" w:name="_Toc7195"/>
      <w:r>
        <w:rPr>
          <w:rFonts w:hint="default" w:ascii="Times New Roman" w:hAnsi="Times New Roman" w:eastAsia="仿宋" w:cs="Times New Roman"/>
          <w:b/>
          <w:bCs/>
          <w:color w:val="auto"/>
          <w:sz w:val="24"/>
          <w:highlight w:val="none"/>
        </w:rPr>
        <w:t xml:space="preserve">6、投标文件的语言、计量单位、货币和编制</w:t>
      </w:r>
      <w:bookmarkEnd w:id="44"/>
      <w:r/>
      <w:bookmarkEnd w:id="45"/>
      <w:r/>
      <w:bookmarkEnd w:id="46"/>
      <w:r/>
      <w:bookmarkEnd w:id="4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6.2投标人所使用的计量单位应为国家法定计量单位。</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6.3投标人应用人民币报价。投标产品如果是进口产品的，应提供人民币与</w:t>
      </w:r>
      <w:r>
        <w:rPr>
          <w:rFonts w:hint="default" w:ascii="Times New Roman" w:hAnsi="Times New Roman" w:eastAsia="仿宋" w:cs="Times New Roman"/>
          <w:b/>
          <w:bCs/>
          <w:color w:val="auto"/>
          <w:sz w:val="24"/>
          <w:highlight w:val="none"/>
        </w:rPr>
        <w:t xml:space="preserve">外币之间的汇率。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6.4投标文件应按照招标文件的规定编写并制作目录。</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6.5投标人应在投标文件中写清相应的项目编号、项目名称、投标人全称、地址、电话、传真等。</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6.6</w:t>
      </w:r>
      <w:r>
        <w:rPr>
          <w:rFonts w:hint="default" w:ascii="Times New Roman" w:hAnsi="Times New Roman" w:eastAsia="仿宋" w:cs="Times New Roman"/>
          <w:color w:val="auto"/>
          <w:sz w:val="24"/>
          <w:highlight w:val="none"/>
        </w:rPr>
        <w:t xml:space="preserve">投标人根据招标文件载明的标的采购项目实际情况，拟在中标后将中标项目的非主体、非关键性工作交由他人完成的，应当在投标文件中载明。</w:t>
      </w:r>
      <w:r/>
    </w:p>
    <w:p>
      <w:pPr>
        <w:numPr>
          <w:ilvl w:val="0"/>
          <w:numId w:val="3"/>
        </w:num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48" w:name="_Toc27292"/>
      <w:r/>
      <w:bookmarkStart w:id="49" w:name="_Toc2836"/>
      <w:r/>
      <w:bookmarkStart w:id="50" w:name="_Toc4575"/>
      <w:r/>
      <w:bookmarkStart w:id="51" w:name="_Toc26340"/>
      <w:r>
        <w:rPr>
          <w:rFonts w:hint="default" w:ascii="Times New Roman" w:hAnsi="Times New Roman" w:eastAsia="仿宋" w:cs="Times New Roman"/>
          <w:b/>
          <w:bCs/>
          <w:color w:val="auto"/>
          <w:sz w:val="24"/>
          <w:highlight w:val="none"/>
        </w:rPr>
        <w:t xml:space="preserve">联合体投标（本项目不接受）</w:t>
      </w:r>
      <w:bookmarkEnd w:id="48"/>
      <w:r/>
      <w:bookmarkEnd w:id="49"/>
      <w:r/>
      <w:bookmarkEnd w:id="50"/>
      <w:r/>
      <w:bookmarkEnd w:id="51"/>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52" w:name="_Toc20264"/>
      <w:r/>
      <w:bookmarkStart w:id="53" w:name="_Toc32276"/>
      <w:r/>
      <w:bookmarkStart w:id="54" w:name="_Toc11499"/>
      <w:r/>
      <w:bookmarkStart w:id="55" w:name="_Toc3606"/>
      <w:r>
        <w:rPr>
          <w:rFonts w:hint="default" w:ascii="Times New Roman" w:hAnsi="Times New Roman" w:eastAsia="仿宋" w:cs="Times New Roman"/>
          <w:b/>
          <w:bCs/>
          <w:color w:val="auto"/>
          <w:sz w:val="24"/>
          <w:highlight w:val="none"/>
        </w:rPr>
        <w:t xml:space="preserve">8、投标文件的组成</w:t>
      </w:r>
      <w:bookmarkEnd w:id="52"/>
      <w:r/>
      <w:bookmarkEnd w:id="53"/>
      <w:r/>
      <w:bookmarkEnd w:id="54"/>
      <w:r/>
      <w:bookmarkEnd w:id="55"/>
      <w:r/>
      <w:r/>
    </w:p>
    <w:p>
      <w:pPr>
        <w:ind w:firstLine="480"/>
        <w:jc w:val="left"/>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8.1投标人应当根据招标文件要求编制投标文件，投标文件应对招标文件提出的要求和条件作出实质性响应，并在《商务条款偏离表》和《技术条款偏离表》等处逐条标明满足与否。</w:t>
      </w:r>
      <w:r>
        <w:rPr>
          <w:rFonts w:hint="default" w:ascii="Times New Roman" w:hAnsi="Times New Roman" w:eastAsia="仿宋" w:cs="Times New Roman"/>
          <w:b/>
          <w:color w:val="auto"/>
          <w:sz w:val="24"/>
          <w:highlight w:val="none"/>
        </w:rPr>
        <w:t xml:space="preserve">对带</w:t>
      </w:r>
      <w:r>
        <w:rPr>
          <w:rFonts w:hint="default" w:ascii="Times New Roman" w:hAnsi="Times New Roman" w:eastAsia="仿宋" w:cs="Times New Roman"/>
          <w:b/>
          <w:bCs/>
          <w:color w:val="auto"/>
          <w:sz w:val="24"/>
          <w:highlight w:val="none"/>
        </w:rPr>
        <w:t xml:space="preserve">星号（“</w:t>
      </w:r>
      <w:r>
        <w:rPr>
          <w:rFonts w:hint="default" w:ascii="Times New Roman" w:hAnsi="Times New Roman" w:eastAsia="仿宋" w:cs="Times New Roman"/>
          <w:color w:val="auto"/>
          <w:spacing w:val="-2"/>
          <w:sz w:val="24"/>
          <w:highlight w:val="none"/>
        </w:rPr>
        <w:t xml:space="preserve">★</w:t>
      </w:r>
      <w:r>
        <w:rPr>
          <w:rFonts w:hint="default" w:ascii="Times New Roman" w:hAnsi="Times New Roman" w:eastAsia="仿宋" w:cs="Times New Roman"/>
          <w:b/>
          <w:bCs/>
          <w:color w:val="auto"/>
          <w:sz w:val="24"/>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56" w:name="_Toc15723"/>
      <w:r/>
      <w:bookmarkStart w:id="57" w:name="_Toc5675"/>
      <w:r/>
      <w:bookmarkStart w:id="58" w:name="_Toc21277"/>
      <w:r/>
      <w:bookmarkStart w:id="59" w:name="_Toc3612"/>
      <w:r>
        <w:rPr>
          <w:rFonts w:hint="default" w:ascii="Times New Roman" w:hAnsi="Times New Roman" w:eastAsia="仿宋" w:cs="Times New Roman"/>
          <w:b/>
          <w:bCs/>
          <w:color w:val="auto"/>
          <w:sz w:val="24"/>
          <w:highlight w:val="none"/>
        </w:rPr>
        <w:t xml:space="preserve">9、投标文件的商务内容</w:t>
      </w:r>
      <w:bookmarkEnd w:id="56"/>
      <w:r/>
      <w:bookmarkEnd w:id="57"/>
      <w:r/>
      <w:bookmarkEnd w:id="58"/>
      <w:r/>
      <w:bookmarkEnd w:id="5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bookmarkStart w:id="60" w:name="_Toc26516"/>
      <w:r/>
      <w:bookmarkStart w:id="61" w:name="_Toc26083"/>
      <w:r>
        <w:rPr>
          <w:rFonts w:hint="default" w:ascii="Times New Roman" w:hAnsi="Times New Roman" w:eastAsia="仿宋" w:cs="Times New Roman"/>
          <w:color w:val="auto"/>
          <w:sz w:val="24"/>
          <w:highlight w:val="none"/>
        </w:rPr>
        <w:t xml:space="preserve">9.1商务部分内容是证明投标人有资格参加投标和中标后有能力履行合同的文件，这些文件应能满足招标的要求，包括但不限于下列文件（</w:t>
      </w:r>
      <w:r>
        <w:rPr>
          <w:rFonts w:hint="default" w:ascii="Times New Roman" w:hAnsi="Times New Roman" w:eastAsia="仿宋" w:cs="Times New Roman"/>
          <w:b/>
          <w:color w:val="auto"/>
          <w:sz w:val="24"/>
          <w:highlight w:val="none"/>
        </w:rPr>
        <w:t xml:space="preserve">（1）-（7）所述材料不得有缺失或提供不全或不满足招标文件的实质性要求</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w:t>
      </w:r>
      <w:r>
        <w:rPr>
          <w:rFonts w:hint="default" w:ascii="Times New Roman" w:hAnsi="Times New Roman" w:eastAsia="微软雅黑"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投标申请及声明</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b/>
          <w:bCs/>
          <w:color w:val="auto"/>
          <w:sz w:val="24"/>
          <w:highlight w:val="none"/>
        </w:rPr>
        <w:t xml:space="preserve">格式见附件</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w:t>
      </w:r>
      <w:r>
        <w:rPr>
          <w:rFonts w:hint="default" w:ascii="Times New Roman" w:hAnsi="Times New Roman" w:eastAsia="微软雅黑"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法定代表人身份证明或法人授权书</w:t>
      </w:r>
      <w:r>
        <w:rPr>
          <w:rFonts w:hint="eastAsia" w:eastAsia="仿宋" w:cs="Times New Roman"/>
          <w:color w:val="auto"/>
          <w:sz w:val="24"/>
          <w:highlight w:val="none"/>
          <w:lang w:val="en-US" w:eastAsia="zh-CN"/>
        </w:rPr>
        <w:t xml:space="preserve">及委托代理人社保证明材料</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b/>
          <w:bCs/>
          <w:color w:val="auto"/>
          <w:sz w:val="24"/>
          <w:highlight w:val="none"/>
        </w:rPr>
        <w:t xml:space="preserve">格式见附件</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w:t>
      </w:r>
      <w:r>
        <w:rPr>
          <w:rFonts w:hint="default" w:ascii="Times New Roman" w:hAnsi="Times New Roman" w:eastAsia="微软雅黑"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法人或者其他组织的营业执照等证明文件：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w:t>
      </w:r>
      <w:r>
        <w:rPr>
          <w:rFonts w:hint="default" w:ascii="Times New Roman" w:hAnsi="Times New Roman" w:eastAsia="微软雅黑"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开标一览表（格式见附件）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w:t>
      </w:r>
      <w:r>
        <w:rPr>
          <w:rFonts w:hint="default" w:ascii="Times New Roman" w:hAnsi="Times New Roman" w:eastAsia="微软雅黑"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分项报价表；</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（6）★《南京市政府采购供应商信用记录表暨信用承诺书》（应由法定代表人</w:t>
      </w:r>
      <w:r>
        <w:rPr>
          <w:rFonts w:hint="default" w:ascii="Times New Roman" w:hAnsi="Times New Roman" w:eastAsia="仿宋" w:cs="Times New Roman"/>
          <w:color w:val="auto"/>
          <w:sz w:val="24"/>
          <w:highlight w:val="none"/>
          <w:lang w:val="zh-CN"/>
        </w:rPr>
        <w:t xml:space="preserve">签字并盖单位</w:t>
      </w:r>
      <w:r>
        <w:rPr>
          <w:rFonts w:hint="default" w:ascii="Times New Roman" w:hAnsi="Times New Roman" w:eastAsia="仿宋" w:cs="Times New Roman"/>
          <w:color w:val="auto"/>
          <w:sz w:val="24"/>
          <w:highlight w:val="none"/>
        </w:rPr>
        <w:t xml:space="preserve">电子</w:t>
      </w:r>
      <w:r>
        <w:rPr>
          <w:rFonts w:hint="default" w:ascii="Times New Roman" w:hAnsi="Times New Roman" w:eastAsia="仿宋" w:cs="Times New Roman"/>
          <w:color w:val="auto"/>
          <w:sz w:val="24"/>
          <w:highlight w:val="none"/>
          <w:lang w:val="zh-CN"/>
        </w:rPr>
        <w:t xml:space="preserve">公章</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zh-CN"/>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（7）★《商务条款偏离表》；</w:t>
      </w:r>
      <w:r/>
    </w:p>
    <w:p>
      <w:pPr>
        <w:ind w:firstLine="480"/>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t xml:space="preserve">（8）《中小企业声明函》；</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（9）第三章评标标准中对应的所需证明材料（如有自行添加）；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（10）要求采购人提供的配合（如有自拟并自行添加）；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（11）其他（投标人认为有必要提供的声明和文件，如有，自行拟定并添加）。</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62" w:name="_Toc25443"/>
      <w:r/>
      <w:bookmarkStart w:id="63" w:name="_Toc18552"/>
      <w:r>
        <w:rPr>
          <w:rFonts w:hint="default" w:ascii="Times New Roman" w:hAnsi="Times New Roman" w:eastAsia="仿宋" w:cs="Times New Roman"/>
          <w:b/>
          <w:bCs/>
          <w:color w:val="auto"/>
          <w:sz w:val="24"/>
          <w:highlight w:val="none"/>
        </w:rPr>
        <w:t xml:space="preserve">10、投标文件的技术内容</w:t>
      </w:r>
      <w:bookmarkEnd w:id="60"/>
      <w:r/>
      <w:bookmarkEnd w:id="61"/>
      <w:r/>
      <w:bookmarkEnd w:id="62"/>
      <w:r/>
      <w:bookmarkEnd w:id="63"/>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技术部分</w:t>
      </w:r>
      <w:r>
        <w:rPr>
          <w:rFonts w:hint="default" w:ascii="Times New Roman" w:hAnsi="Times New Roman" w:eastAsia="仿宋" w:cs="Times New Roman"/>
          <w:color w:val="auto"/>
          <w:sz w:val="24"/>
          <w:highlight w:val="none"/>
        </w:rPr>
        <w:t xml:space="preserve">内容</w:t>
      </w:r>
      <w:r>
        <w:rPr>
          <w:rFonts w:hint="default" w:ascii="Times New Roman" w:hAnsi="Times New Roman" w:eastAsia="仿宋" w:cs="Times New Roman"/>
          <w:color w:val="auto"/>
          <w:sz w:val="24"/>
          <w:highlight w:val="none"/>
          <w:lang w:val="zh-CN"/>
        </w:rPr>
        <w:t xml:space="preserve">是证明</w:t>
      </w:r>
      <w:r>
        <w:rPr>
          <w:rFonts w:hint="default" w:ascii="Times New Roman" w:hAnsi="Times New Roman" w:eastAsia="仿宋" w:cs="Times New Roman"/>
          <w:color w:val="auto"/>
          <w:sz w:val="24"/>
          <w:highlight w:val="none"/>
        </w:rPr>
        <w:t xml:space="preserve">投标人提供的货物和服务是合格的、并符合招标文件要求的证明文件，以及</w:t>
      </w:r>
      <w:r>
        <w:rPr>
          <w:rFonts w:hint="default" w:ascii="Times New Roman" w:hAnsi="Times New Roman" w:eastAsia="仿宋" w:cs="Times New Roman"/>
          <w:color w:val="auto"/>
          <w:sz w:val="24"/>
          <w:highlight w:val="none"/>
          <w:lang w:val="zh-CN"/>
        </w:rPr>
        <w:t xml:space="preserve">对货物和服务的详细说明，这些文件可以是文字资料、图纸、数据</w:t>
      </w:r>
      <w:r>
        <w:rPr>
          <w:rFonts w:hint="default" w:ascii="Times New Roman" w:hAnsi="Times New Roman" w:eastAsia="仿宋" w:cs="Times New Roman"/>
          <w:color w:val="auto"/>
          <w:sz w:val="24"/>
          <w:highlight w:val="none"/>
        </w:rPr>
        <w:t xml:space="preserve">或其他证明文件</w:t>
      </w:r>
      <w:r>
        <w:rPr>
          <w:rFonts w:hint="default" w:ascii="Times New Roman" w:hAnsi="Times New Roman" w:eastAsia="仿宋" w:cs="Times New Roman"/>
          <w:color w:val="auto"/>
          <w:sz w:val="24"/>
          <w:highlight w:val="none"/>
          <w:lang w:val="zh-CN"/>
        </w:rPr>
        <w:t xml:space="preserve">等。提供的货物和服务如与招标文件要求有不符之处，应说明其差别之所在。包括但不限于下列文件：</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（1）技术说明或服务方案；</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技术条款偏离表</w:t>
      </w:r>
      <w:r>
        <w:rPr>
          <w:rFonts w:hint="default" w:ascii="Times New Roman" w:hAnsi="Times New Roman" w:eastAsia="仿宋" w:cs="Times New Roman"/>
          <w:color w:val="auto"/>
          <w:sz w:val="24"/>
          <w:highlight w:val="none"/>
          <w:lang w:val="zh-CN"/>
        </w:rPr>
        <w:t xml:space="preserve">》；</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（3）服务承诺；</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（4）投标人拟投入本项目的设备、人员情况一览表；</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（5）投标人认为需要提供的其他技术资料。</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64" w:name="_Toc8067"/>
      <w:r/>
      <w:bookmarkStart w:id="65" w:name="_Toc24779"/>
      <w:r/>
      <w:bookmarkStart w:id="66" w:name="_Toc32231"/>
      <w:r/>
      <w:bookmarkStart w:id="67" w:name="_Toc9970"/>
      <w:r>
        <w:rPr>
          <w:rFonts w:hint="default" w:ascii="Times New Roman" w:hAnsi="Times New Roman" w:eastAsia="仿宋" w:cs="Times New Roman"/>
          <w:b/>
          <w:bCs/>
          <w:color w:val="auto"/>
          <w:sz w:val="24"/>
          <w:highlight w:val="none"/>
        </w:rPr>
        <w:t xml:space="preserve">11、投标文件的价格内容</w:t>
      </w:r>
      <w:bookmarkEnd w:id="64"/>
      <w:r/>
      <w:bookmarkEnd w:id="65"/>
      <w:r/>
      <w:bookmarkEnd w:id="66"/>
      <w:r/>
      <w:bookmarkEnd w:id="67"/>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bCs/>
          <w:color w:val="auto"/>
          <w:sz w:val="24"/>
          <w:highlight w:val="none"/>
        </w:rPr>
        <w:t xml:space="preserve">以</w:t>
      </w:r>
      <w:r>
        <w:rPr>
          <w:rFonts w:hint="default" w:ascii="Times New Roman" w:hAnsi="Times New Roman" w:eastAsia="仿宋" w:cs="Times New Roman"/>
          <w:color w:val="auto"/>
          <w:sz w:val="24"/>
          <w:highlight w:val="none"/>
        </w:rPr>
        <w:t xml:space="preserve">及投标人认为需要的其他费用等</w:t>
      </w:r>
      <w:r>
        <w:rPr>
          <w:rFonts w:hint="default" w:ascii="Times New Roman" w:hAnsi="Times New Roman" w:eastAsia="仿宋" w:cs="Times New Roman"/>
          <w:b/>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11.3投标人的任何错漏、优惠、竞争性报价不得作为减轻责任、减少服务、增加收费、降低质量的理由。</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仿宋" w:cs="Times New Roman"/>
          <w:b/>
          <w:bCs/>
          <w:color w:val="auto"/>
          <w:sz w:val="24"/>
          <w:highlight w:val="none"/>
        </w:rPr>
        <w:t xml:space="preserve">无效投标处理</w:t>
      </w:r>
      <w:r>
        <w:rPr>
          <w:rFonts w:hint="default" w:ascii="Times New Roman" w:hAnsi="Times New Roman" w:eastAsia="仿宋" w:cs="Times New Roman"/>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11.5 投标人应在《开标一览表》《分项报价表》等标明投标货物和服务的单价、总价以及分项报价等。</w:t>
      </w:r>
      <w:r/>
    </w:p>
    <w:p>
      <w:pPr>
        <w:ind w:firstLine="480"/>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11.7本项目预算为：详见第一章</w:t>
      </w:r>
      <w:r>
        <w:rPr>
          <w:rFonts w:hint="default" w:ascii="Times New Roman" w:hAnsi="Times New Roman" w:eastAsia="仿宋" w:cs="Times New Roman"/>
          <w:bCs/>
          <w:color w:val="auto"/>
          <w:sz w:val="24"/>
          <w:highlight w:val="none"/>
        </w:rPr>
        <w:t xml:space="preserve">。</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68" w:name="_Toc5"/>
      <w:r/>
      <w:bookmarkStart w:id="69" w:name="_Toc7568"/>
      <w:r/>
      <w:bookmarkStart w:id="70" w:name="_Toc18514"/>
      <w:r/>
      <w:bookmarkStart w:id="71" w:name="_Toc18341"/>
      <w:r>
        <w:rPr>
          <w:rFonts w:hint="default" w:ascii="Times New Roman" w:hAnsi="Times New Roman" w:eastAsia="仿宋" w:cs="Times New Roman"/>
          <w:b/>
          <w:bCs/>
          <w:color w:val="auto"/>
          <w:sz w:val="24"/>
          <w:highlight w:val="none"/>
        </w:rPr>
        <w:t xml:space="preserve">12、投标文件的其他部分</w:t>
      </w:r>
      <w:bookmarkEnd w:id="68"/>
      <w:r/>
      <w:bookmarkEnd w:id="69"/>
      <w:r/>
      <w:bookmarkEnd w:id="70"/>
      <w:r/>
      <w:bookmarkEnd w:id="7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12.1 其他部分由投标人根据编制投标文件需要提供的其他相关文件组成。</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12.2 </w:t>
      </w:r>
      <w:r>
        <w:rPr>
          <w:rFonts w:hint="default" w:ascii="Times New Roman" w:hAnsi="Times New Roman" w:eastAsia="仿宋" w:cs="Times New Roman"/>
          <w:color w:val="auto"/>
          <w:sz w:val="24"/>
          <w:highlight w:val="none"/>
          <w:lang w:val="zh-CN"/>
        </w:rPr>
        <w:t xml:space="preserve">如标书制作工具中格式和内容与“南京公共采购信息网、江苏政府采购网”发布的</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文件不一致，以</w:t>
      </w:r>
      <w:r>
        <w:rPr>
          <w:rFonts w:hint="default" w:ascii="Times New Roman" w:hAnsi="Times New Roman" w:eastAsia="仿宋" w:cs="Times New Roman"/>
          <w:color w:val="auto"/>
          <w:sz w:val="24"/>
          <w:highlight w:val="none"/>
        </w:rPr>
        <w:t xml:space="preserve">上述网站</w:t>
      </w:r>
      <w:r>
        <w:rPr>
          <w:rFonts w:hint="default" w:ascii="Times New Roman" w:hAnsi="Times New Roman" w:eastAsia="仿宋" w:cs="Times New Roman"/>
          <w:color w:val="auto"/>
          <w:sz w:val="24"/>
          <w:highlight w:val="none"/>
          <w:lang w:val="zh-CN"/>
        </w:rPr>
        <w:t xml:space="preserve">发布的</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文件为准。</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13、投标保证金（本项目无需缴纳投标保证金）</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14、投标有效期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14.1 自开标之日起</w:t>
      </w:r>
      <w:r>
        <w:rPr>
          <w:rFonts w:hint="default" w:ascii="Times New Roman" w:hAnsi="Times New Roman" w:eastAsia="仿宋" w:cs="Times New Roman"/>
          <w:b/>
          <w:color w:val="auto"/>
          <w:sz w:val="24"/>
          <w:highlight w:val="none"/>
        </w:rPr>
        <w:t xml:space="preserve">90</w:t>
      </w:r>
      <w:r>
        <w:rPr>
          <w:rFonts w:hint="default" w:ascii="Times New Roman" w:hAnsi="Times New Roman" w:eastAsia="仿宋" w:cs="Times New Roman"/>
          <w:color w:val="auto"/>
          <w:sz w:val="24"/>
          <w:highlight w:val="none"/>
        </w:rPr>
        <w:t xml:space="preserve">天内投标有效</w:t>
      </w:r>
      <w:r>
        <w:rPr>
          <w:rFonts w:hint="default" w:ascii="Times New Roman" w:hAnsi="Times New Roman" w:eastAsia="仿宋" w:cs="Times New Roman"/>
          <w:b/>
          <w:color w:val="auto"/>
          <w:sz w:val="24"/>
          <w:highlight w:val="none"/>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72" w:name="_Toc8732"/>
      <w:r/>
      <w:bookmarkStart w:id="73" w:name="_Toc24542"/>
      <w:r/>
      <w:bookmarkStart w:id="74" w:name="_Toc569"/>
      <w:r/>
      <w:bookmarkStart w:id="75" w:name="_Toc1144"/>
      <w:r>
        <w:rPr>
          <w:rFonts w:hint="default" w:ascii="Times New Roman" w:hAnsi="Times New Roman" w:eastAsia="仿宋" w:cs="Times New Roman"/>
          <w:b/>
          <w:bCs/>
          <w:color w:val="auto"/>
          <w:sz w:val="24"/>
          <w:highlight w:val="none"/>
        </w:rPr>
        <w:t xml:space="preserve">15、投标文件签署</w:t>
      </w:r>
      <w:bookmarkEnd w:id="72"/>
      <w:r/>
      <w:bookmarkEnd w:id="73"/>
      <w:r/>
      <w:bookmarkEnd w:id="74"/>
      <w:r/>
      <w:bookmarkEnd w:id="7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15.1 投标文件应按照招标文件要求加盖电子公章，否则视为无效投标。</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76" w:name="_Toc16068"/>
      <w:r/>
      <w:bookmarkStart w:id="77" w:name="_Toc487"/>
      <w:r/>
      <w:bookmarkStart w:id="78" w:name="_Toc4625"/>
      <w:r/>
      <w:bookmarkStart w:id="79" w:name="_Toc32679"/>
      <w:r>
        <w:rPr>
          <w:rFonts w:hint="default" w:ascii="Times New Roman" w:hAnsi="Times New Roman" w:eastAsia="仿宋" w:cs="Times New Roman"/>
          <w:b/>
          <w:bCs/>
          <w:color w:val="auto"/>
          <w:sz w:val="24"/>
          <w:highlight w:val="none"/>
        </w:rPr>
        <w:t xml:space="preserve">16、投标费用</w:t>
      </w:r>
      <w:bookmarkEnd w:id="76"/>
      <w:r/>
      <w:bookmarkEnd w:id="77"/>
      <w:r/>
      <w:bookmarkEnd w:id="78"/>
      <w:r/>
      <w:bookmarkEnd w:id="7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bCs/>
          <w:color w:val="auto"/>
          <w:sz w:val="24"/>
          <w:highlight w:val="none"/>
        </w:rPr>
        <w:t xml:space="preserve">16.2 招标代理服务费：</w:t>
      </w:r>
      <w:r>
        <w:rPr>
          <w:rFonts w:hint="default" w:ascii="Times New Roman" w:hAnsi="Times New Roman" w:eastAsia="仿宋" w:cs="Times New Roman"/>
          <w:color w:val="auto"/>
          <w:spacing w:val="-4"/>
          <w:sz w:val="24"/>
          <w:highlight w:val="none"/>
        </w:rPr>
        <w:t xml:space="preserve">本</w:t>
      </w:r>
      <w:r>
        <w:rPr>
          <w:rFonts w:hint="default" w:ascii="Times New Roman" w:hAnsi="Times New Roman" w:eastAsia="仿宋" w:cs="Times New Roman"/>
          <w:color w:val="auto"/>
          <w:sz w:val="24"/>
          <w:highlight w:val="none"/>
        </w:rPr>
        <w:t xml:space="preserve">次招标代理费依据</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政府采购代理机构管理暂行办法</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财库〔2018〕2号</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第十五条，本项目代理费用由中标供应商支付。招标代理费</w:t>
      </w:r>
      <w:r>
        <w:rPr>
          <w:rFonts w:hint="default" w:ascii="Times New Roman" w:hAnsi="Times New Roman" w:eastAsia="仿宋" w:cs="Times New Roman"/>
          <w:color w:val="auto"/>
          <w:sz w:val="24"/>
          <w:highlight w:val="none"/>
          <w:lang w:val="zh-CN"/>
        </w:rPr>
        <w:t xml:space="preserve">参照</w:t>
      </w:r>
      <w:r>
        <w:rPr>
          <w:rFonts w:hint="default" w:ascii="Times New Roman" w:hAnsi="Times New Roman" w:eastAsia="仿宋" w:cs="Times New Roman"/>
          <w:color w:val="auto"/>
          <w:sz w:val="24"/>
          <w:highlight w:val="none"/>
        </w:rPr>
        <w:t xml:space="preserve">国家计委关于印发《招标代理服务收费管理暂行办法》的通知计价格〔2002〕1980号文件收取，计费基础为中标价，按差额定率累进法计算：即</w:t>
      </w:r>
      <w:r>
        <w:rPr>
          <w:rFonts w:hint="default" w:ascii="Times New Roman" w:hAnsi="Times New Roman" w:eastAsia="仿宋" w:cs="Times New Roman"/>
          <w:color w:val="auto"/>
          <w:sz w:val="24"/>
          <w:highlight w:val="none"/>
          <w:lang w:val="zh-CN"/>
        </w:rPr>
        <w:t xml:space="preserve">（1~100）*1.5%</w:t>
      </w:r>
      <w:r>
        <w:rPr>
          <w:rFonts w:hint="eastAsia" w:eastAsia="仿宋" w:cs="Times New Roman"/>
          <w:color w:val="auto"/>
          <w:sz w:val="24"/>
          <w:highlight w:val="none"/>
          <w:lang w:val="en-US" w:eastAsia="zh-CN"/>
        </w:rPr>
        <w:t xml:space="preserve">+（100~500）*1.1%</w:t>
      </w:r>
      <w:r>
        <w:rPr>
          <w:rFonts w:hint="default" w:ascii="Times New Roman" w:hAnsi="Times New Roman" w:eastAsia="仿宋" w:cs="Times New Roman"/>
          <w:color w:val="auto"/>
          <w:sz w:val="24"/>
          <w:highlight w:val="none"/>
          <w:lang w:val="zh-CN"/>
        </w:rPr>
        <w:t xml:space="preserve">（单位万元），中标供应商在领取中标通知书前向招标代理机构支付招标服务费。本项费用无需在投标报价表中单列。</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招标代理服务费交纳方法：</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（1）交纳方式：银行网银、电汇等；</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（2）收款单位、开户银行及</w:t>
      </w:r>
      <w:r>
        <w:rPr>
          <w:rFonts w:hint="default" w:ascii="Times New Roman" w:hAnsi="Times New Roman" w:eastAsia="仿宋" w:cs="Times New Roman"/>
          <w:color w:val="auto"/>
          <w:sz w:val="24"/>
          <w:highlight w:val="none"/>
        </w:rPr>
        <w:t xml:space="preserve">账</w:t>
      </w:r>
      <w:r>
        <w:rPr>
          <w:rFonts w:hint="default" w:ascii="Times New Roman" w:hAnsi="Times New Roman" w:eastAsia="仿宋" w:cs="Times New Roman"/>
          <w:color w:val="auto"/>
          <w:sz w:val="24"/>
          <w:highlight w:val="none"/>
          <w:lang w:val="zh-CN"/>
        </w:rPr>
        <w:t xml:space="preserve">号：</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收款单位：</w:t>
      </w:r>
      <w:r>
        <w:rPr>
          <w:rFonts w:hint="eastAsia" w:eastAsia="仿宋" w:cs="Times New Roman"/>
          <w:color w:val="auto"/>
          <w:sz w:val="24"/>
          <w:highlight w:val="none"/>
          <w:lang w:val="zh-CN"/>
        </w:rPr>
        <w:t xml:space="preserve">南京瑞嘉建设项目管理有限公司</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开户银行：</w:t>
      </w:r>
      <w:r>
        <w:rPr>
          <w:rFonts w:hint="default" w:ascii="Times New Roman" w:hAnsi="Times New Roman" w:eastAsia="仿宋" w:cs="Times New Roman"/>
          <w:color w:val="auto"/>
          <w:sz w:val="24"/>
          <w:highlight w:val="none"/>
          <w:lang w:val="en-US" w:eastAsia="zh-CN"/>
        </w:rPr>
        <w:t xml:space="preserve">工行南京龙江支行</w:t>
      </w:r>
      <w:r/>
    </w:p>
    <w:p>
      <w:pPr>
        <w:ind w:firstLine="480"/>
        <w:spacing w:line="360" w:lineRule="auto"/>
        <w:shd w:val="clear" w:color="auto" w:fill="ffffff"/>
        <w:widowControl/>
        <w:rPr>
          <w:rFonts w:hint="eastAsia" w:ascii="Times New Roman" w:hAnsi="Times New Roman" w:eastAsia="仿宋" w:cs="Times New Roman"/>
          <w:color w:val="auto"/>
          <w:sz w:val="24"/>
          <w:highlight w:val="none"/>
          <w:lang w:val="zh-CN" w:eastAsia="zh-CN"/>
        </w:rPr>
      </w:pPr>
      <w:r>
        <w:rPr>
          <w:rFonts w:hint="default" w:ascii="Times New Roman" w:hAnsi="Times New Roman" w:eastAsia="仿宋" w:cs="Times New Roman"/>
          <w:color w:val="auto"/>
          <w:sz w:val="24"/>
          <w:highlight w:val="none"/>
          <w:lang w:val="zh-CN"/>
        </w:rPr>
        <w:t xml:space="preserve">账号： </w:t>
      </w:r>
      <w:r>
        <w:rPr>
          <w:rFonts w:hint="default" w:ascii="Times New Roman" w:hAnsi="Times New Roman" w:eastAsia="仿宋" w:cs="Times New Roman"/>
          <w:color w:val="auto"/>
          <w:sz w:val="24"/>
          <w:highlight w:val="none"/>
          <w:lang w:val="en-US" w:eastAsia="zh-CN"/>
        </w:rPr>
        <w:t xml:space="preserve">4301024119100057021</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16.3开标公证费：无。</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80" w:name="_Toc22334"/>
      <w:r/>
      <w:bookmarkStart w:id="81" w:name="_Toc19582"/>
      <w:r/>
      <w:bookmarkStart w:id="82" w:name="_Toc31719"/>
      <w:r/>
      <w:bookmarkStart w:id="83" w:name="_Toc7257"/>
      <w:r>
        <w:rPr>
          <w:rFonts w:hint="default" w:ascii="Times New Roman" w:hAnsi="Times New Roman" w:eastAsia="仿宋" w:cs="Times New Roman"/>
          <w:b/>
          <w:bCs/>
          <w:color w:val="auto"/>
          <w:sz w:val="24"/>
          <w:highlight w:val="none"/>
        </w:rPr>
        <w:t xml:space="preserve">四、投标文件的递交</w:t>
      </w:r>
      <w:bookmarkEnd w:id="80"/>
      <w:r/>
      <w:bookmarkEnd w:id="81"/>
      <w:r/>
      <w:bookmarkEnd w:id="82"/>
      <w:r/>
      <w:bookmarkEnd w:id="83"/>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84" w:name="_Toc9850"/>
      <w:r/>
      <w:bookmarkStart w:id="85" w:name="_Toc14965"/>
      <w:r/>
      <w:bookmarkStart w:id="86" w:name="_Toc24369"/>
      <w:r/>
      <w:bookmarkStart w:id="87" w:name="_Toc25300"/>
      <w:r>
        <w:rPr>
          <w:rFonts w:hint="default" w:ascii="Times New Roman" w:hAnsi="Times New Roman" w:eastAsia="仿宋" w:cs="Times New Roman"/>
          <w:b/>
          <w:bCs/>
          <w:color w:val="auto"/>
          <w:sz w:val="24"/>
          <w:highlight w:val="none"/>
        </w:rPr>
        <w:t xml:space="preserve">17、投标文件的递交</w:t>
      </w:r>
      <w:bookmarkEnd w:id="84"/>
      <w:r/>
      <w:bookmarkEnd w:id="85"/>
      <w:r/>
      <w:bookmarkEnd w:id="86"/>
      <w:r/>
      <w:bookmarkEnd w:id="8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88" w:name="_Toc1552"/>
      <w:r/>
      <w:bookmarkStart w:id="89" w:name="_Toc2273"/>
      <w:r/>
      <w:bookmarkStart w:id="90" w:name="_Toc9945"/>
      <w:r/>
      <w:bookmarkStart w:id="91" w:name="_Toc25842"/>
      <w:r>
        <w:rPr>
          <w:rFonts w:hint="default" w:ascii="Times New Roman" w:hAnsi="Times New Roman" w:eastAsia="仿宋" w:cs="Times New Roman"/>
          <w:b/>
          <w:bCs/>
          <w:color w:val="auto"/>
          <w:sz w:val="24"/>
          <w:highlight w:val="none"/>
        </w:rPr>
        <w:t xml:space="preserve">18、投标文件的解密</w:t>
      </w:r>
      <w:bookmarkEnd w:id="88"/>
      <w:r/>
      <w:bookmarkEnd w:id="89"/>
      <w:r/>
      <w:bookmarkEnd w:id="90"/>
      <w:r/>
      <w:bookmarkEnd w:id="9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18.1 投标人应当按照《操作手册》规定，在“苏采云”系统规定的时间内对投标文件进行解密。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18.3 投标人应充分考虑网络环境、网络带宽等因素可能对投标产生的影响，如因投标人自身原因造成的电子投标文件解密不成功的，做无效投标处理。</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92" w:name="_Toc4588"/>
      <w:r/>
      <w:bookmarkStart w:id="93" w:name="_Toc7211"/>
      <w:r/>
      <w:bookmarkStart w:id="94" w:name="_Toc15468"/>
      <w:r/>
      <w:bookmarkStart w:id="95" w:name="_Toc31446"/>
      <w:r>
        <w:rPr>
          <w:rFonts w:hint="default" w:ascii="Times New Roman" w:hAnsi="Times New Roman" w:eastAsia="仿宋" w:cs="Times New Roman"/>
          <w:b/>
          <w:bCs/>
          <w:color w:val="auto"/>
          <w:sz w:val="24"/>
          <w:highlight w:val="none"/>
        </w:rPr>
        <w:t xml:space="preserve">19、投标文件的修改和撤回</w:t>
      </w:r>
      <w:bookmarkEnd w:id="92"/>
      <w:r/>
      <w:bookmarkEnd w:id="93"/>
      <w:r/>
      <w:bookmarkEnd w:id="94"/>
      <w:r/>
      <w:bookmarkEnd w:id="9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19.2 投标截止时间之后，投标文件不得撤回。</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96" w:name="_Toc30463"/>
      <w:r/>
      <w:bookmarkStart w:id="97" w:name="_Toc22258"/>
      <w:r/>
      <w:bookmarkStart w:id="98" w:name="_Toc7890"/>
      <w:r/>
      <w:bookmarkStart w:id="99" w:name="_Toc23259"/>
      <w:r>
        <w:rPr>
          <w:rFonts w:hint="default" w:ascii="Times New Roman" w:hAnsi="Times New Roman" w:eastAsia="仿宋" w:cs="Times New Roman"/>
          <w:b/>
          <w:bCs/>
          <w:color w:val="auto"/>
          <w:sz w:val="24"/>
          <w:highlight w:val="none"/>
        </w:rPr>
        <w:t xml:space="preserve">20、诚实信用</w:t>
      </w:r>
      <w:bookmarkEnd w:id="96"/>
      <w:r/>
      <w:bookmarkEnd w:id="97"/>
      <w:r/>
      <w:bookmarkEnd w:id="98"/>
      <w:r/>
      <w:bookmarkEnd w:id="9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00" w:name="_Toc20561"/>
      <w:r/>
      <w:bookmarkStart w:id="101" w:name="_Toc31160"/>
      <w:r/>
      <w:bookmarkStart w:id="102" w:name="_Toc26774"/>
      <w:r/>
      <w:bookmarkStart w:id="103" w:name="_Toc28607"/>
      <w:r>
        <w:rPr>
          <w:rFonts w:hint="default" w:ascii="Times New Roman" w:hAnsi="Times New Roman" w:eastAsia="仿宋" w:cs="Times New Roman"/>
          <w:b/>
          <w:bCs/>
          <w:color w:val="auto"/>
          <w:sz w:val="24"/>
          <w:highlight w:val="none"/>
        </w:rPr>
        <w:t xml:space="preserve">五、开标、评标与定标</w:t>
      </w:r>
      <w:bookmarkEnd w:id="100"/>
      <w:r/>
      <w:bookmarkEnd w:id="101"/>
      <w:r/>
      <w:bookmarkEnd w:id="102"/>
      <w:r/>
      <w:bookmarkEnd w:id="103"/>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04" w:name="_Toc1990"/>
      <w:r/>
      <w:bookmarkStart w:id="105" w:name="_Toc18898"/>
      <w:r/>
      <w:bookmarkStart w:id="106" w:name="_Toc7767"/>
      <w:r/>
      <w:bookmarkStart w:id="107" w:name="_Toc31434"/>
      <w:r>
        <w:rPr>
          <w:rFonts w:hint="default" w:ascii="Times New Roman" w:hAnsi="Times New Roman" w:eastAsia="仿宋" w:cs="Times New Roman"/>
          <w:b/>
          <w:bCs/>
          <w:color w:val="auto"/>
          <w:sz w:val="24"/>
          <w:highlight w:val="none"/>
        </w:rPr>
        <w:t xml:space="preserve">21、开标</w:t>
      </w:r>
      <w:bookmarkEnd w:id="104"/>
      <w:r/>
      <w:bookmarkEnd w:id="105"/>
      <w:r/>
      <w:bookmarkEnd w:id="106"/>
      <w:r/>
      <w:bookmarkEnd w:id="107"/>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21.2 投标人在开标过程中涉及到的投标文件解密、开标结果确认等工作，应按照《操作手册》规定执行。</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21.3投标人不足3家的，不得开标。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（1）招标文件存在不合理条款或者招标程序不符合规定的，采购人、采购代理机构改正后依法重新招标；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08" w:name="_Toc2638"/>
      <w:r/>
      <w:bookmarkStart w:id="109" w:name="_Toc13033"/>
      <w:r/>
      <w:bookmarkStart w:id="110" w:name="_Toc16466"/>
      <w:r/>
      <w:bookmarkStart w:id="111" w:name="_Toc21331"/>
      <w:r>
        <w:rPr>
          <w:rFonts w:hint="default" w:ascii="Times New Roman" w:hAnsi="Times New Roman" w:eastAsia="仿宋" w:cs="Times New Roman"/>
          <w:b/>
          <w:bCs/>
          <w:color w:val="auto"/>
          <w:sz w:val="24"/>
          <w:highlight w:val="none"/>
        </w:rPr>
        <w:t xml:space="preserve">22、评标</w:t>
      </w:r>
      <w:bookmarkEnd w:id="108"/>
      <w:r/>
      <w:bookmarkEnd w:id="109"/>
      <w:r/>
      <w:bookmarkEnd w:id="110"/>
      <w:r/>
      <w:bookmarkEnd w:id="111"/>
      <w:r/>
      <w:r/>
    </w:p>
    <w:p>
      <w:pPr>
        <w:ind w:firstLine="482"/>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22.1 评标委员会</w:t>
      </w:r>
      <w:r/>
    </w:p>
    <w:p>
      <w:pPr>
        <w:ind w:firstLine="482"/>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
          <w:bCs/>
          <w:color w:val="auto"/>
          <w:sz w:val="24"/>
          <w:highlight w:val="none"/>
        </w:rPr>
        <w:t xml:space="preserve">22.1.1</w:t>
      </w:r>
      <w:r>
        <w:rPr>
          <w:rFonts w:hint="default" w:ascii="Times New Roman" w:hAnsi="Times New Roman" w:eastAsia="仿宋" w:cs="Times New Roman"/>
          <w:bCs/>
          <w:color w:val="auto"/>
          <w:sz w:val="24"/>
          <w:highlight w:val="none"/>
        </w:rPr>
        <w:t xml:space="preserve">评标委员会负责具体评标事务，并独立履行下列职责：</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（一）审查、评价投标文件是否符合招标文件的商务、技术等实质性要求；</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（二）要求投标人对投标文件有关事项作出澄清或者说明；</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（三）对投标文件进行比较和评价；</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（四）确定中标候选人名单，以及根据采购人委托直接确定中标人；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（五）向采购人、采购代理机构或者有关部门报告评标中发现的违法行为。</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22.1.2 </w:t>
      </w:r>
      <w:r>
        <w:rPr>
          <w:rFonts w:hint="default" w:ascii="Times New Roman" w:hAnsi="Times New Roman" w:eastAsia="仿宋" w:cs="Times New Roman"/>
          <w:color w:val="auto"/>
          <w:sz w:val="24"/>
          <w:highlight w:val="none"/>
        </w:rPr>
        <w:t xml:space="preserve">评标委员会由</w:t>
      </w:r>
      <w:r>
        <w:rPr>
          <w:rFonts w:hint="default" w:ascii="Times New Roman" w:hAnsi="Times New Roman" w:eastAsia="仿宋" w:cs="Times New Roman"/>
          <w:bCs/>
          <w:color w:val="auto"/>
          <w:sz w:val="24"/>
          <w:highlight w:val="none"/>
        </w:rPr>
        <w:t xml:space="preserve">采购人</w:t>
      </w:r>
      <w:r>
        <w:rPr>
          <w:rFonts w:hint="default" w:ascii="Times New Roman" w:hAnsi="Times New Roman" w:eastAsia="仿宋" w:cs="Times New Roman"/>
          <w:color w:val="auto"/>
          <w:sz w:val="24"/>
          <w:highlight w:val="none"/>
        </w:rPr>
        <w:t xml:space="preserve">代表和有关技术、经济等方面的专家组成，独立开展评审工作。</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22.2  评标程序</w:t>
      </w:r>
      <w:r/>
    </w:p>
    <w:p>
      <w:pPr>
        <w:ind w:firstLine="482"/>
        <w:jc w:val="left"/>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22.2.1 </w:t>
      </w:r>
      <w:r>
        <w:rPr>
          <w:rFonts w:hint="default" w:ascii="Times New Roman" w:hAnsi="Times New Roman" w:eastAsia="仿宋" w:cs="Times New Roman"/>
          <w:b/>
          <w:bCs/>
          <w:color w:val="auto"/>
          <w:sz w:val="24"/>
          <w:highlight w:val="none"/>
        </w:rPr>
        <w:t xml:space="preserve">投标文件的资格性检查。</w:t>
      </w:r>
      <w:r>
        <w:rPr>
          <w:rFonts w:hint="default" w:ascii="Times New Roman" w:hAnsi="Times New Roman" w:eastAsia="仿宋" w:cs="Times New Roman"/>
          <w:color w:val="auto"/>
          <w:sz w:val="24"/>
          <w:highlight w:val="none"/>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22.2.2投标文件的符合性审查</w:t>
      </w:r>
      <w:r>
        <w:rPr>
          <w:rFonts w:hint="default" w:ascii="Times New Roman" w:hAnsi="Times New Roman" w:eastAsia="仿宋" w:cs="Times New Roman"/>
          <w:color w:val="auto"/>
          <w:sz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（1）投标人在“苏采云”系统规定的时间内未成功解密电子投标文件的；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（2）投标人未按照招标文件要求上传电子投标文件的；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（3）同一投标人提交两个（含两个）以上不同的投标报价的；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（4）投标文件未按照招标文件要求加盖电子公章的；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（5）不具备招标文件中规定的资格要求的</w:t>
      </w:r>
      <w:r>
        <w:rPr>
          <w:rFonts w:hint="default" w:ascii="Times New Roman" w:hAnsi="Times New Roman" w:eastAsia="仿宋" w:cs="Times New Roman"/>
          <w:b/>
          <w:color w:val="auto"/>
          <w:sz w:val="24"/>
          <w:highlight w:val="none"/>
          <w:lang w:val="zh-CN"/>
        </w:rPr>
        <w:t xml:space="preserve">（</w:t>
      </w:r>
      <w:r>
        <w:rPr>
          <w:rFonts w:hint="default" w:ascii="Times New Roman" w:hAnsi="Times New Roman" w:eastAsia="仿宋" w:cs="Times New Roman"/>
          <w:b/>
          <w:color w:val="auto"/>
          <w:sz w:val="24"/>
          <w:highlight w:val="none"/>
        </w:rPr>
        <w:t xml:space="preserve">包括未提供经法定代表人签字及加盖电子公章的《南京市政府采购供应商信用记录表暨信用承诺书》</w:t>
      </w:r>
      <w:r>
        <w:rPr>
          <w:rFonts w:hint="default" w:ascii="Times New Roman" w:hAnsi="Times New Roman" w:eastAsia="仿宋" w:cs="Times New Roman"/>
          <w:b/>
          <w:color w:val="auto"/>
          <w:sz w:val="24"/>
          <w:highlight w:val="none"/>
          <w:lang w:val="zh-CN"/>
        </w:rPr>
        <w:t xml:space="preserve">）</w:t>
      </w:r>
      <w:r>
        <w:rPr>
          <w:rFonts w:hint="default" w:ascii="Times New Roman" w:hAnsi="Times New Roman" w:eastAsia="仿宋" w:cs="Times New Roman"/>
          <w:b/>
          <w:color w:val="auto"/>
          <w:sz w:val="24"/>
          <w:highlight w:val="none"/>
        </w:rPr>
        <w:t xml:space="preserve">；</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（6）报价超过招标文件中规定的预算金额或者最高限价的；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（7）投标文件含有采购人不能接受的附加条件的；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lang w:val="zh-CN"/>
        </w:rPr>
      </w:pPr>
      <w:r>
        <w:rPr>
          <w:rFonts w:hint="default" w:ascii="Times New Roman" w:hAnsi="Times New Roman" w:eastAsia="仿宋" w:cs="Times New Roman"/>
          <w:b/>
          <w:color w:val="auto"/>
          <w:sz w:val="24"/>
          <w:highlight w:val="none"/>
          <w:lang w:val="zh-CN"/>
        </w:rPr>
        <w:t xml:space="preserve">（</w:t>
      </w:r>
      <w:r>
        <w:rPr>
          <w:rFonts w:hint="default" w:ascii="Times New Roman" w:hAnsi="Times New Roman" w:eastAsia="仿宋" w:cs="Times New Roman"/>
          <w:b/>
          <w:color w:val="auto"/>
          <w:sz w:val="24"/>
          <w:highlight w:val="none"/>
        </w:rPr>
        <w:t xml:space="preserve">8</w:t>
      </w:r>
      <w:r>
        <w:rPr>
          <w:rFonts w:hint="default" w:ascii="Times New Roman" w:hAnsi="Times New Roman" w:eastAsia="仿宋" w:cs="Times New Roman"/>
          <w:b/>
          <w:color w:val="auto"/>
          <w:sz w:val="24"/>
          <w:highlight w:val="none"/>
          <w:lang w:val="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（9）投标文件内容不全或不符合招标文件中规定的其他实质性要求的；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（10）现行法律、法规、规章和招标文件规定的其他无效情形。</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22.2.2.1 实质性要求是指本招标文件中用带星号（“</w:t>
      </w:r>
      <w:r>
        <w:rPr>
          <w:rFonts w:hint="default" w:ascii="Times New Roman" w:hAnsi="Times New Roman" w:eastAsia="仿宋" w:cs="Times New Roman"/>
          <w:color w:val="auto"/>
          <w:spacing w:val="-2"/>
          <w:sz w:val="24"/>
          <w:highlight w:val="none"/>
        </w:rPr>
        <w:t xml:space="preserve">★</w:t>
      </w:r>
      <w:r>
        <w:rPr>
          <w:rFonts w:hint="default" w:ascii="Times New Roman" w:hAnsi="Times New Roman" w:eastAsia="仿宋" w:cs="Times New Roman"/>
          <w:b/>
          <w:bCs/>
          <w:color w:val="auto"/>
          <w:sz w:val="24"/>
          <w:highlight w:val="none"/>
        </w:rPr>
        <w:t xml:space="preserve">”）、“必须”或“应（应当）”等其他文字说明的商务和技术要求。</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22.2.2.3有下列情形之一的予以废标：</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（1）符合专业条件的投标人或者对招标文件作实质性响应的投标人不足三家的；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（2）出现影响采购公正的违法、违规行为的；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（3）投标人的报价均超过了采购预算，采购人不能支付的；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（4）因苏采云系统故障造成开标不成功的；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（5）因重大变故，采购任务取消的。</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w:t>
      </w:r>
      <w:r>
        <w:rPr>
          <w:rFonts w:hint="default" w:ascii="Times New Roman" w:hAnsi="Times New Roman" w:eastAsia="仿宋" w:cs="Times New Roman"/>
          <w:b/>
          <w:bCs/>
          <w:color w:val="auto"/>
          <w:sz w:val="24"/>
          <w:highlight w:val="none"/>
        </w:rPr>
        <w:t xml:space="preserve">澄清有关问题</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评委会并非对每个投标人都做澄清要求。</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22.2.3.4投标文件报价出现前后不一致的，除招标文件另有规定外，按照下列规定修正：</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（2）大写金额和小写金额不一致的，以大写金额为准；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（3）单价金额小数点或者百分比有明显错位的，以开标一览表的总价为准，并修改单价；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（4）总价金额与按单价汇总金额不一致的，以单价金额计算结果为准。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2.2.3.5投标人在开、评标全过程中应保持通讯畅通，及时登录苏采云系统查阅、答复相关信息，并安排专人与代理机构及评委会联系。</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仿宋" w:cs="Times New Roman"/>
          <w:b/>
          <w:color w:val="auto"/>
          <w:sz w:val="24"/>
          <w:highlight w:val="none"/>
        </w:rPr>
        <w:t xml:space="preserve">投标人不能证明其报价合理性的，评标委员会将其作为无效投标处理。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22.2.4</w:t>
      </w:r>
      <w:r>
        <w:rPr>
          <w:rFonts w:hint="default" w:ascii="Times New Roman" w:hAnsi="Times New Roman" w:eastAsia="仿宋" w:cs="Times New Roman"/>
          <w:bCs/>
          <w:color w:val="auto"/>
          <w:sz w:val="24"/>
          <w:highlight w:val="none"/>
        </w:rPr>
        <w:t xml:space="preserve">比较与评价。</w:t>
      </w:r>
      <w:r>
        <w:rPr>
          <w:rFonts w:hint="default" w:ascii="Times New Roman" w:hAnsi="Times New Roman" w:eastAsia="仿宋" w:cs="Times New Roman"/>
          <w:color w:val="auto"/>
          <w:sz w:val="24"/>
          <w:highlight w:val="none"/>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22.3 评标方法和标准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评审因素，包括价格、技术、商务等。</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评标总得分＝F1×A1＋F2×A2＋……＋Fn×An</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F1、F2……Fn分别为各项评审因素的得分；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A1、A2、……An 分别为各项评审因素所占的权重(A1＋A2＋……＋An＝1)。</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因落实政府采购政策进行价格调整的，以调整后的价格计算评标基准价和投标报价。</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outlineLvl w:val="2"/>
      </w:pPr>
      <w:r/>
      <w:bookmarkStart w:id="112" w:name="_Toc8635"/>
      <w:r/>
      <w:bookmarkStart w:id="113" w:name="_Toc8485"/>
      <w:r/>
      <w:bookmarkStart w:id="114" w:name="_Toc28298"/>
      <w:r/>
      <w:bookmarkStart w:id="115" w:name="_Toc11944"/>
      <w:r>
        <w:rPr>
          <w:rFonts w:hint="default" w:ascii="Times New Roman" w:hAnsi="Times New Roman" w:eastAsia="仿宋" w:cs="Times New Roman"/>
          <w:b/>
          <w:bCs/>
          <w:color w:val="auto"/>
          <w:sz w:val="24"/>
          <w:highlight w:val="none"/>
        </w:rPr>
        <w:t xml:space="preserve">23、</w:t>
      </w:r>
      <w:r>
        <w:rPr>
          <w:rFonts w:hint="default" w:ascii="Times New Roman" w:hAnsi="Times New Roman" w:eastAsia="仿宋" w:cs="Times New Roman"/>
          <w:b/>
          <w:color w:val="auto"/>
          <w:sz w:val="24"/>
          <w:highlight w:val="none"/>
        </w:rPr>
        <w:t xml:space="preserve">确定中标人</w:t>
      </w:r>
      <w:bookmarkEnd w:id="112"/>
      <w:r/>
      <w:bookmarkEnd w:id="113"/>
      <w:r/>
      <w:bookmarkEnd w:id="114"/>
      <w:r/>
      <w:bookmarkEnd w:id="11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bCs/>
          <w:color w:val="auto"/>
          <w:sz w:val="24"/>
          <w:highlight w:val="none"/>
        </w:rPr>
        <w:t xml:space="preserve">23.4 中标通知书对采购人和中标人具有同等法律效力。中标通知书发出后，采购人不得</w:t>
      </w:r>
      <w:r>
        <w:rPr>
          <w:rFonts w:hint="default" w:ascii="Times New Roman" w:hAnsi="Times New Roman" w:eastAsia="仿宋" w:cs="Times New Roman"/>
          <w:b/>
          <w:color w:val="auto"/>
          <w:sz w:val="24"/>
          <w:highlight w:val="none"/>
        </w:rPr>
        <w:t xml:space="preserve">违法改变中标结果，中标人无正当理由不得放弃中标。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23.5 所有投标文件不论中标与否，均不退回。</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16" w:name="_Toc10827"/>
      <w:r/>
      <w:bookmarkStart w:id="117" w:name="_Toc9464"/>
      <w:r/>
      <w:bookmarkStart w:id="118" w:name="_Toc23374"/>
      <w:r/>
      <w:bookmarkStart w:id="119" w:name="_Toc17741"/>
      <w:r>
        <w:rPr>
          <w:rFonts w:hint="default" w:ascii="Times New Roman" w:hAnsi="Times New Roman" w:eastAsia="仿宋" w:cs="Times New Roman"/>
          <w:b/>
          <w:bCs/>
          <w:color w:val="auto"/>
          <w:sz w:val="24"/>
          <w:highlight w:val="none"/>
        </w:rPr>
        <w:t xml:space="preserve">24、编写评标报告</w:t>
      </w:r>
      <w:bookmarkEnd w:id="116"/>
      <w:r/>
      <w:bookmarkEnd w:id="117"/>
      <w:r/>
      <w:bookmarkEnd w:id="118"/>
      <w:r/>
      <w:bookmarkEnd w:id="11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24.1评标委员会根据全体评标成员签字的原始评标记录和评标结果编写评标报告。</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20" w:name="_Toc19516"/>
      <w:r/>
      <w:bookmarkStart w:id="121" w:name="_Toc581"/>
      <w:r/>
      <w:bookmarkStart w:id="122" w:name="_Toc29128"/>
      <w:r/>
      <w:bookmarkStart w:id="123" w:name="_Toc16678"/>
      <w:r>
        <w:rPr>
          <w:rFonts w:hint="default" w:ascii="Times New Roman" w:hAnsi="Times New Roman" w:eastAsia="仿宋" w:cs="Times New Roman"/>
          <w:b/>
          <w:bCs/>
          <w:color w:val="auto"/>
          <w:sz w:val="24"/>
          <w:highlight w:val="none"/>
        </w:rPr>
        <w:t xml:space="preserve">25、评标过程的保密性</w:t>
      </w:r>
      <w:bookmarkEnd w:id="120"/>
      <w:r/>
      <w:bookmarkEnd w:id="121"/>
      <w:r/>
      <w:bookmarkEnd w:id="122"/>
      <w:r/>
      <w:bookmarkEnd w:id="12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25.1 采购人和采购代理机构将采取必要措施，保证评标在严格保密的情况下进行。</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25.2 任何单位和个人不得非法干预、影响评标办法的确定，以及评标过程和结果。</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24" w:name="_Toc23805"/>
      <w:r/>
      <w:bookmarkStart w:id="125" w:name="_Toc17261"/>
      <w:r/>
      <w:bookmarkStart w:id="126" w:name="_Toc8499"/>
      <w:r/>
      <w:bookmarkStart w:id="127" w:name="_Toc23673"/>
      <w:r>
        <w:rPr>
          <w:rFonts w:hint="default" w:ascii="Times New Roman" w:hAnsi="Times New Roman" w:eastAsia="仿宋" w:cs="Times New Roman"/>
          <w:b/>
          <w:bCs/>
          <w:color w:val="auto"/>
          <w:sz w:val="24"/>
          <w:highlight w:val="none"/>
        </w:rPr>
        <w:t xml:space="preserve">六、签订合同</w:t>
      </w:r>
      <w:bookmarkEnd w:id="124"/>
      <w:r/>
      <w:bookmarkEnd w:id="125"/>
      <w:r/>
      <w:bookmarkEnd w:id="126"/>
      <w:r/>
      <w:bookmarkEnd w:id="127"/>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28" w:name="_Toc1214"/>
      <w:r/>
      <w:bookmarkStart w:id="129" w:name="_Toc15854"/>
      <w:r/>
      <w:bookmarkStart w:id="130" w:name="_Toc3444"/>
      <w:r/>
      <w:bookmarkStart w:id="131" w:name="_Toc18234"/>
      <w:r>
        <w:rPr>
          <w:rFonts w:hint="default" w:ascii="Times New Roman" w:hAnsi="Times New Roman" w:eastAsia="仿宋" w:cs="Times New Roman"/>
          <w:b/>
          <w:bCs/>
          <w:color w:val="auto"/>
          <w:sz w:val="24"/>
          <w:highlight w:val="none"/>
        </w:rPr>
        <w:t xml:space="preserve">26、签订合同</w:t>
      </w:r>
      <w:bookmarkEnd w:id="128"/>
      <w:r/>
      <w:bookmarkEnd w:id="129"/>
      <w:r/>
      <w:bookmarkEnd w:id="130"/>
      <w:r/>
      <w:bookmarkEnd w:id="13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color w:val="auto"/>
          <w:sz w:val="24"/>
          <w:highlight w:val="none"/>
        </w:rPr>
        <w:t xml:space="preserve">26.2</w:t>
      </w:r>
      <w:r>
        <w:rPr>
          <w:rFonts w:hint="default" w:ascii="Times New Roman" w:hAnsi="Times New Roman" w:eastAsia="仿宋" w:cs="Times New Roman"/>
          <w:color w:val="auto"/>
          <w:sz w:val="24"/>
          <w:highlight w:val="none"/>
        </w:rPr>
        <w:t xml:space="preserve">除继续履行将损害国家利益和社会公众利益的，政府采购合同的双方当事人不得擅自变更、中止或者终止合同。</w:t>
      </w:r>
      <w:r>
        <w:rPr>
          <w:rFonts w:hint="default" w:ascii="Times New Roman" w:hAnsi="Times New Roman" w:eastAsia="仿宋" w:cs="Times New Roman"/>
          <w:b/>
          <w:bCs/>
          <w:color w:val="auto"/>
          <w:sz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26.3采购人不得向中标人提出任何不合理的要求作为签订合同的条件。</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26.6 采购人与中标人应当根据合同的约定依法履行合同义务。</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32" w:name="_Toc15059"/>
      <w:r/>
      <w:bookmarkStart w:id="133" w:name="_Toc11523"/>
      <w:r/>
      <w:bookmarkStart w:id="134" w:name="_Toc15972"/>
      <w:r/>
      <w:bookmarkStart w:id="135" w:name="_Toc19945"/>
      <w:r>
        <w:rPr>
          <w:rFonts w:hint="default" w:ascii="Times New Roman" w:hAnsi="Times New Roman" w:eastAsia="仿宋" w:cs="Times New Roman"/>
          <w:b/>
          <w:bCs/>
          <w:color w:val="auto"/>
          <w:sz w:val="24"/>
          <w:highlight w:val="none"/>
        </w:rPr>
        <w:t xml:space="preserve">七、质疑和投诉</w:t>
      </w:r>
      <w:bookmarkEnd w:id="132"/>
      <w:r/>
      <w:bookmarkEnd w:id="133"/>
      <w:r/>
      <w:bookmarkEnd w:id="134"/>
      <w:r/>
      <w:bookmarkEnd w:id="135"/>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36" w:name="_Toc21796"/>
      <w:r/>
      <w:bookmarkStart w:id="137" w:name="_Toc15761"/>
      <w:r/>
      <w:bookmarkStart w:id="138" w:name="_Toc5142"/>
      <w:r/>
      <w:bookmarkStart w:id="139" w:name="_Toc14967"/>
      <w:r>
        <w:rPr>
          <w:rFonts w:hint="default" w:ascii="Times New Roman" w:hAnsi="Times New Roman" w:eastAsia="仿宋" w:cs="Times New Roman"/>
          <w:b/>
          <w:bCs/>
          <w:color w:val="auto"/>
          <w:sz w:val="24"/>
          <w:highlight w:val="none"/>
        </w:rPr>
        <w:t xml:space="preserve">27、质疑</w:t>
      </w:r>
      <w:bookmarkEnd w:id="136"/>
      <w:r/>
      <w:bookmarkEnd w:id="137"/>
      <w:r/>
      <w:bookmarkEnd w:id="138"/>
      <w:r/>
      <w:bookmarkEnd w:id="13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27.1供应商对招标活动事项有疑问的，可以向采购代理机构提出询问，采购代理机构将依法作出答复，但答复的内容不涉及商业秘密</w:t>
      </w:r>
      <w:r>
        <w:rPr>
          <w:rFonts w:hint="default" w:ascii="Times New Roman" w:hAnsi="Times New Roman" w:eastAsia="仿宋" w:cs="Times New Roman"/>
          <w:b/>
          <w:bCs/>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供应商必须在法定质疑期内一次性提出针对同一采购程序环节的质疑。</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27.4 供应商提出质疑应当提交质疑函和必要的证明材料。质疑函应当包括下列内容：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（一）供应商的姓名或者名称、地址、邮编、联系人及联系电话；</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（二）质疑项目的名称、编号；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（三）具体、明确的质疑事项和与质疑事项相关的请求（具体条款）；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（四）事实依据（具体条款）；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（五）必要的法律依据（具体条款）；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（六）提出质疑的日期。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27.7采购代理机构在收到投标人的书面质疑后将及时组织调查核实，在</w:t>
      </w:r>
      <w:r>
        <w:rPr>
          <w:rFonts w:hint="default" w:ascii="Times New Roman" w:hAnsi="Times New Roman" w:eastAsia="仿宋" w:cs="Times New Roman"/>
          <w:b/>
          <w:bCs/>
          <w:color w:val="auto"/>
          <w:sz w:val="24"/>
          <w:highlight w:val="none"/>
        </w:rPr>
        <w:t xml:space="preserve">七个工作日内</w:t>
      </w:r>
      <w:r>
        <w:rPr>
          <w:rFonts w:hint="default" w:ascii="Times New Roman" w:hAnsi="Times New Roman" w:eastAsia="仿宋" w:cs="Times New Roman"/>
          <w:color w:val="auto"/>
          <w:sz w:val="24"/>
          <w:highlight w:val="none"/>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40" w:name="_Toc20567"/>
      <w:r/>
      <w:bookmarkStart w:id="141" w:name="_Toc15668"/>
      <w:r/>
      <w:bookmarkStart w:id="142" w:name="_Toc4272"/>
      <w:r/>
      <w:bookmarkStart w:id="143" w:name="_Toc22899"/>
      <w:r>
        <w:rPr>
          <w:rFonts w:hint="default" w:ascii="Times New Roman" w:hAnsi="Times New Roman" w:eastAsia="仿宋" w:cs="Times New Roman"/>
          <w:b/>
          <w:bCs/>
          <w:color w:val="auto"/>
          <w:sz w:val="24"/>
          <w:highlight w:val="none"/>
        </w:rPr>
        <w:t xml:space="preserve">28、投诉</w:t>
      </w:r>
      <w:bookmarkEnd w:id="140"/>
      <w:r/>
      <w:bookmarkEnd w:id="141"/>
      <w:r/>
      <w:bookmarkEnd w:id="142"/>
      <w:r/>
      <w:bookmarkEnd w:id="143"/>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28.2供应商投诉应当有明确的请求和必要的证明材料。供应商投诉的事项不得超出已质疑事项的范围。</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28.4 投诉人有下列行为之一的，属于严重失信行为，由财政部门列入不良行为记录名单，禁止其一至三年内参加政府采购活动。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（1）投诉人在全国范围12个月内三次以上投诉查无实据的；</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（2）采用捏造事实、提供虚假材料或者以非法手段取得证明材料等方式进行虚假、恶意投诉。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证据来源的合法性存在明显疑问，投诉人无法证明其取得方式合法的，视为以非法手段取得证明材料。</w:t>
      </w:r>
      <w:r/>
    </w:p>
    <w:p>
      <w:pPr>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pStyle w:val="817"/>
        <w:spacing w:line="360" w:lineRule="auto"/>
        <w:rPr>
          <w:rFonts w:hint="default" w:ascii="Times New Roman" w:hAnsi="Times New Roman" w:eastAsia="仿宋" w:cs="Times New Roman"/>
          <w:color w:val="auto"/>
          <w:highlight w:val="none"/>
        </w:rPr>
      </w:pPr>
      <w:r/>
      <w:bookmarkStart w:id="144" w:name="_Toc481057145"/>
      <w:r>
        <w:rPr>
          <w:rFonts w:hint="default" w:ascii="Times New Roman" w:hAnsi="Times New Roman" w:eastAsia="仿宋" w:cs="Times New Roman"/>
          <w:color w:val="auto"/>
          <w:highlight w:val="none"/>
        </w:rPr>
        <w:t xml:space="preserve"> </w:t>
      </w:r>
      <w:bookmarkStart w:id="145" w:name="_Toc27862"/>
      <w:r/>
      <w:bookmarkStart w:id="146" w:name="_Toc7731"/>
      <w:r>
        <w:rPr>
          <w:rFonts w:hint="default" w:ascii="Times New Roman" w:hAnsi="Times New Roman" w:eastAsia="仿宋" w:cs="Times New Roman"/>
          <w:color w:val="auto"/>
          <w:highlight w:val="none"/>
        </w:rPr>
        <w:t xml:space="preserve">评标标准</w:t>
      </w:r>
      <w:bookmarkEnd w:id="144"/>
      <w:r/>
      <w:bookmarkEnd w:id="145"/>
      <w:r/>
      <w:bookmarkEnd w:id="146"/>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本项目采用综合评分法，评分统计方法采用百分制（满分100分），将全部评委评分直接进行算术平均，小数点后保留2位。</w:t>
      </w:r>
      <w:r>
        <w:rPr>
          <w:rFonts w:hint="default" w:ascii="Times New Roman" w:hAnsi="Times New Roman" w:eastAsia="仿宋" w:cs="Times New Roman"/>
          <w:color w:val="auto"/>
          <w:sz w:val="24"/>
          <w:highlight w:val="none"/>
          <w:lang w:val="en-US" w:eastAsia="zh-CN"/>
        </w:rPr>
        <w:t xml:space="preserve">评审结果</w:t>
      </w:r>
      <w:r>
        <w:rPr>
          <w:rFonts w:hint="default" w:ascii="Times New Roman" w:hAnsi="Times New Roman" w:eastAsia="仿宋" w:cs="Times New Roman"/>
          <w:color w:val="auto"/>
          <w:sz w:val="24"/>
          <w:highlight w:val="none"/>
        </w:rPr>
        <w:t xml:space="preserve">按评审后得分由高到低顺序排列</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得分相同的，按投标报价由低到高顺序排列。得分且投标报价相同的并列。投标文件满足招标文件全部实质性要求，且按照评审因素的量化指标评审得分最高的投标人为排名第一的中标候选人。</w:t>
      </w:r>
      <w:r/>
    </w:p>
    <w:tbl>
      <w:tblPr>
        <w:tblStyle w:val="827"/>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评分</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分值</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类型</w:t>
            </w:r>
            <w:r/>
          </w:p>
        </w:tc>
      </w:tr>
      <w:tr>
        <w:trP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价格</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评标采用低价优先</w:t>
            </w:r>
            <w:r>
              <w:rPr>
                <w:rFonts w:hint="eastAsia" w:eastAsia="仿宋" w:cs="Times New Roman"/>
                <w:color w:val="auto"/>
                <w:szCs w:val="21"/>
                <w:highlight w:val="none"/>
                <w:lang w:val="en-US" w:eastAsia="zh-CN"/>
              </w:rPr>
              <w:t xml:space="preserve">法计算</w:t>
            </w:r>
            <w:r>
              <w:rPr>
                <w:rFonts w:hint="default" w:ascii="Times New Roman" w:hAnsi="Times New Roman" w:eastAsia="仿宋" w:cs="Times New Roman"/>
                <w:color w:val="auto"/>
                <w:szCs w:val="21"/>
                <w:highlight w:val="none"/>
              </w:rPr>
              <w:t xml:space="preserve">，</w:t>
            </w:r>
            <w:r>
              <w:rPr>
                <w:rFonts w:hint="eastAsia" w:eastAsia="仿宋" w:cs="Times New Roman"/>
                <w:color w:val="auto"/>
                <w:szCs w:val="21"/>
                <w:highlight w:val="none"/>
                <w:lang w:val="en-US" w:eastAsia="zh-CN"/>
              </w:rPr>
              <w:t xml:space="preserve">即</w:t>
            </w:r>
            <w:r>
              <w:rPr>
                <w:rFonts w:hint="default" w:ascii="Times New Roman" w:hAnsi="Times New Roman" w:eastAsia="仿宋" w:cs="Times New Roman"/>
                <w:color w:val="auto"/>
                <w:szCs w:val="21"/>
                <w:highlight w:val="none"/>
              </w:rPr>
              <w:t xml:space="preserve">满足招标文件要求且投标价格最低的投标报价为评标基准价，其价格分为满分。其他投标人的价格分</w:t>
            </w:r>
            <w:r>
              <w:rPr>
                <w:rFonts w:hint="eastAsia" w:eastAsia="仿宋" w:cs="Times New Roman"/>
                <w:color w:val="auto"/>
                <w:szCs w:val="21"/>
                <w:highlight w:val="none"/>
                <w:lang w:val="en-US" w:eastAsia="zh-CN"/>
              </w:rPr>
              <w:t xml:space="preserve">统一按照</w:t>
            </w:r>
            <w:r>
              <w:rPr>
                <w:rFonts w:hint="default" w:ascii="Times New Roman" w:hAnsi="Times New Roman" w:eastAsia="仿宋" w:cs="Times New Roman"/>
                <w:color w:val="auto"/>
                <w:szCs w:val="21"/>
                <w:highlight w:val="none"/>
              </w:rPr>
              <w:t xml:space="preserve">下列公式计算：投标报价得分=(评标基准价／投标报价)×30。（小数点后保留两位，第三位四舍五入）</w:t>
            </w:r>
            <w:r/>
          </w:p>
          <w:p>
            <w:pPr>
              <w:pStyle w:val="879"/>
              <w:ind w:firstLine="0"/>
              <w:rPr>
                <w:rFonts w:hint="default" w:ascii="Times New Roman" w:hAnsi="Times New Roman" w:cs="Times New Roman"/>
                <w:color w:val="auto"/>
                <w:highlight w:val="none"/>
              </w:rPr>
            </w:pPr>
            <w:r>
              <w:rPr>
                <w:rFonts w:hint="default" w:ascii="Times New Roman" w:hAnsi="Times New Roman" w:eastAsia="仿宋" w:cs="Times New Roman"/>
                <w:color w:val="auto"/>
                <w:szCs w:val="21"/>
                <w:highlight w:val="none"/>
              </w:rPr>
              <w:t xml:space="preserve">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计算</w:t>
            </w:r>
            <w:r/>
          </w:p>
        </w:tc>
      </w:tr>
      <w:tr>
        <w:trP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技术方案</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w:t>
            </w:r>
            <w:r>
              <w:rPr>
                <w:rFonts w:hint="eastAsia" w:eastAsia="仿宋" w:cs="Times New Roman"/>
                <w:color w:val="auto"/>
                <w:szCs w:val="21"/>
                <w:highlight w:val="none"/>
                <w:lang w:val="en-US" w:eastAsia="zh-CN"/>
              </w:rPr>
              <w:t xml:space="preserve">40</w:t>
            </w:r>
            <w:r>
              <w:rPr>
                <w:rFonts w:hint="default" w:ascii="Times New Roman" w:hAnsi="Times New Roman" w:eastAsia="仿宋" w:cs="Times New Roman"/>
                <w:color w:val="auto"/>
                <w:szCs w:val="21"/>
                <w:highlight w:val="none"/>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widowControl/>
              <w:rPr>
                <w:rFonts w:hint="default" w:ascii="Times New Roman" w:hAnsi="Times New Roman" w:eastAsia="仿宋" w:cs="Times New Roman"/>
                <w:color w:val="auto"/>
                <w:sz w:val="21"/>
                <w:szCs w:val="21"/>
                <w:highlight w:val="none"/>
                <w:lang w:val="en-US" w:eastAsia="zh-CN" w:bidi="ar"/>
              </w:rPr>
            </w:pPr>
            <w:r>
              <w:rPr>
                <w:rFonts w:hint="default" w:ascii="Times New Roman" w:hAnsi="Times New Roman" w:eastAsia="仿宋" w:cs="Times New Roman"/>
                <w:color w:val="auto"/>
                <w:szCs w:val="21"/>
                <w:highlight w:val="none"/>
              </w:rPr>
              <w:t xml:space="preserve">2.1供应商提供的项目</w:t>
            </w:r>
            <w:r>
              <w:rPr>
                <w:rFonts w:hint="default" w:ascii="Times New Roman" w:hAnsi="Times New Roman" w:eastAsia="仿宋" w:cs="Times New Roman"/>
                <w:color w:val="auto"/>
                <w:szCs w:val="21"/>
                <w:highlight w:val="none"/>
                <w:lang w:val="en-US" w:eastAsia="zh-CN"/>
              </w:rPr>
              <w:t xml:space="preserve">实施</w:t>
            </w:r>
            <w:r>
              <w:rPr>
                <w:rFonts w:hint="default" w:ascii="Times New Roman" w:hAnsi="Times New Roman" w:eastAsia="仿宋" w:cs="Times New Roman"/>
                <w:color w:val="auto"/>
                <w:szCs w:val="21"/>
                <w:highlight w:val="none"/>
              </w:rPr>
              <w:t xml:space="preserve">方案</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 w:val="21"/>
                <w:szCs w:val="21"/>
                <w:highlight w:val="none"/>
                <w:lang w:val="en-US" w:eastAsia="zh-CN" w:bidi="ar"/>
              </w:rPr>
              <w:t xml:space="preserve">包括组织架构、人员管理制度</w:t>
            </w:r>
            <w:r>
              <w:rPr>
                <w:rFonts w:hint="eastAsia" w:eastAsia="仿宋" w:cs="Times New Roman"/>
                <w:color w:val="auto"/>
                <w:sz w:val="21"/>
                <w:szCs w:val="21"/>
                <w:highlight w:val="none"/>
                <w:lang w:val="en-US" w:eastAsia="zh-CN" w:bidi="ar"/>
              </w:rPr>
              <w:t xml:space="preserve">、技术人员配备</w:t>
            </w:r>
            <w:r>
              <w:rPr>
                <w:rFonts w:hint="default" w:ascii="Times New Roman" w:hAnsi="Times New Roman" w:eastAsia="仿宋" w:cs="Times New Roman"/>
                <w:color w:val="auto"/>
                <w:sz w:val="21"/>
                <w:szCs w:val="21"/>
                <w:highlight w:val="none"/>
                <w:lang w:val="en-US" w:eastAsia="zh-CN" w:bidi="ar"/>
              </w:rPr>
              <w:t xml:space="preserve">等）。</w:t>
            </w:r>
            <w:r/>
          </w:p>
          <w:p>
            <w:pPr>
              <w:numPr>
                <w:ilvl w:val="0"/>
                <w:numId w:val="0"/>
              </w:numPr>
              <w:jc w:val="left"/>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（1）总体实施方案全面，具有健全科学的服务体系、组织架构，人员管理制度健全、安装设备完善、专业人员配备齐全的得</w:t>
            </w:r>
            <w:r>
              <w:rPr>
                <w:rFonts w:hint="eastAsia" w:eastAsia="仿宋" w:cs="Times New Roman"/>
                <w:i w:val="0"/>
                <w:iCs w:val="0"/>
                <w:color w:val="auto"/>
                <w:sz w:val="21"/>
                <w:szCs w:val="21"/>
                <w:highlight w:val="none"/>
                <w:u w:val="none"/>
                <w:lang w:val="en-US" w:eastAsia="zh-CN" w:bidi="ar"/>
              </w:rPr>
              <w:t xml:space="preserve">10</w:t>
            </w:r>
            <w:r>
              <w:rPr>
                <w:rFonts w:hint="default" w:ascii="Times New Roman" w:hAnsi="Times New Roman" w:eastAsia="仿宋" w:cs="Times New Roman"/>
                <w:i w:val="0"/>
                <w:iCs w:val="0"/>
                <w:color w:val="auto"/>
                <w:sz w:val="21"/>
                <w:szCs w:val="21"/>
                <w:highlight w:val="none"/>
                <w:u w:val="none"/>
                <w:lang w:val="en-US" w:eastAsia="zh-CN" w:bidi="ar"/>
              </w:rPr>
              <w:t xml:space="preserve">分；</w:t>
            </w:r>
            <w:r/>
          </w:p>
          <w:p>
            <w:pPr>
              <w:numPr>
                <w:ilvl w:val="0"/>
                <w:numId w:val="0"/>
              </w:numPr>
              <w:jc w:val="left"/>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（2）总体实施方案较全面，服务体系、组织架构合理，管理制度较健全的得</w:t>
            </w:r>
            <w:r>
              <w:rPr>
                <w:rFonts w:hint="eastAsia" w:eastAsia="仿宋" w:cs="Times New Roman"/>
                <w:i w:val="0"/>
                <w:iCs w:val="0"/>
                <w:color w:val="auto"/>
                <w:sz w:val="21"/>
                <w:szCs w:val="21"/>
                <w:highlight w:val="none"/>
                <w:u w:val="none"/>
                <w:lang w:val="en-US" w:eastAsia="zh-CN" w:bidi="ar"/>
              </w:rPr>
              <w:t xml:space="preserve">7</w:t>
            </w:r>
            <w:r>
              <w:rPr>
                <w:rFonts w:hint="default" w:ascii="Times New Roman" w:hAnsi="Times New Roman" w:eastAsia="仿宋" w:cs="Times New Roman"/>
                <w:i w:val="0"/>
                <w:iCs w:val="0"/>
                <w:color w:val="auto"/>
                <w:sz w:val="21"/>
                <w:szCs w:val="21"/>
                <w:highlight w:val="none"/>
                <w:u w:val="none"/>
                <w:lang w:val="en-US" w:eastAsia="zh-CN" w:bidi="ar"/>
              </w:rPr>
              <w:t xml:space="preserve">分；</w:t>
            </w:r>
            <w:r/>
          </w:p>
          <w:p>
            <w:pPr>
              <w:numPr>
                <w:ilvl w:val="0"/>
                <w:numId w:val="0"/>
              </w:numPr>
              <w:jc w:val="left"/>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（3）实施方案，服务体系、组织架构基本提供，管理制度基本健全，保障措施可行的得</w:t>
            </w:r>
            <w:r>
              <w:rPr>
                <w:rFonts w:hint="eastAsia" w:eastAsia="仿宋" w:cs="Times New Roman"/>
                <w:i w:val="0"/>
                <w:iCs w:val="0"/>
                <w:color w:val="auto"/>
                <w:sz w:val="21"/>
                <w:szCs w:val="21"/>
                <w:highlight w:val="none"/>
                <w:u w:val="none"/>
                <w:lang w:val="en-US" w:eastAsia="zh-CN" w:bidi="ar"/>
              </w:rPr>
              <w:t xml:space="preserve">4</w:t>
            </w:r>
            <w:r>
              <w:rPr>
                <w:rFonts w:hint="default" w:ascii="Times New Roman" w:hAnsi="Times New Roman" w:eastAsia="仿宋" w:cs="Times New Roman"/>
                <w:i w:val="0"/>
                <w:iCs w:val="0"/>
                <w:color w:val="auto"/>
                <w:sz w:val="21"/>
                <w:szCs w:val="21"/>
                <w:highlight w:val="none"/>
                <w:u w:val="none"/>
                <w:lang w:val="en-US" w:eastAsia="zh-CN" w:bidi="ar"/>
              </w:rPr>
              <w:t xml:space="preserve">分；</w:t>
            </w:r>
            <w:r/>
          </w:p>
          <w:p>
            <w:pPr>
              <w:numPr>
                <w:ilvl w:val="0"/>
                <w:numId w:val="0"/>
              </w:numPr>
              <w:jc w:val="left"/>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（4）方案</w:t>
            </w:r>
            <w:r>
              <w:rPr>
                <w:rFonts w:hint="default" w:ascii="Times New Roman" w:hAnsi="Times New Roman" w:eastAsia="仿宋" w:cs="Times New Roman"/>
                <w:color w:val="auto"/>
                <w:szCs w:val="21"/>
                <w:highlight w:val="none"/>
              </w:rPr>
              <w:t xml:space="preserve">不完整、描述不清晰、针对性不强</w:t>
            </w:r>
            <w:r>
              <w:rPr>
                <w:rFonts w:hint="default" w:ascii="Times New Roman" w:hAnsi="Times New Roman" w:eastAsia="仿宋" w:cs="Times New Roman"/>
                <w:color w:val="auto"/>
                <w:szCs w:val="21"/>
                <w:highlight w:val="none"/>
                <w:lang w:val="en-US" w:eastAsia="zh-CN"/>
              </w:rPr>
              <w:t xml:space="preserve">的得</w:t>
            </w:r>
            <w:r>
              <w:rPr>
                <w:rFonts w:hint="eastAsia" w:eastAsia="仿宋" w:cs="Times New Roman"/>
                <w:color w:val="auto"/>
                <w:szCs w:val="21"/>
                <w:highlight w:val="none"/>
                <w:lang w:val="en-US" w:eastAsia="zh-CN"/>
              </w:rPr>
              <w:t xml:space="preserve">1</w:t>
            </w:r>
            <w:r>
              <w:rPr>
                <w:rFonts w:hint="default" w:ascii="Times New Roman" w:hAnsi="Times New Roman" w:eastAsia="仿宋" w:cs="Times New Roman"/>
                <w:color w:val="auto"/>
                <w:szCs w:val="21"/>
                <w:highlight w:val="none"/>
                <w:lang w:val="en-US" w:eastAsia="zh-CN"/>
              </w:rPr>
              <w:t xml:space="preserve">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（5）</w:t>
            </w:r>
            <w:r>
              <w:rPr>
                <w:rFonts w:hint="default" w:ascii="Times New Roman" w:hAnsi="Times New Roman" w:eastAsia="仿宋" w:cs="Times New Roman"/>
                <w:color w:val="auto"/>
                <w:szCs w:val="21"/>
                <w:highlight w:val="none"/>
              </w:rPr>
              <w:t xml:space="preserve">未提供方案的不得分</w:t>
            </w:r>
            <w:r>
              <w:rPr>
                <w:rFonts w:hint="default" w:ascii="Times New Roman" w:hAnsi="Times New Roman" w:eastAsia="仿宋" w:cs="Times New Roman"/>
                <w:i w:val="0"/>
                <w:iCs w:val="0"/>
                <w:color w:val="auto"/>
                <w:sz w:val="21"/>
                <w:szCs w:val="21"/>
                <w:highlight w:val="none"/>
                <w:u w:val="none"/>
                <w:lang w:val="en-US" w:eastAsia="zh-CN" w:bidi="ar"/>
              </w:rPr>
              <w:t xml:space="preserve">。</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10</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主观分</w:t>
            </w:r>
            <w:r/>
          </w:p>
        </w:tc>
      </w:tr>
      <w:tr>
        <w:trPr>
          <w:trHeight w:val="812"/>
          <w:tblHeader/>
        </w:trPr>
        <w:tc>
          <w:tcPr>
            <w:tcBorders>
              <w:left w:val="single" w:color="auto" w:sz="4" w:space="0"/>
              <w:right w:val="single" w:color="auto" w:sz="4" w:space="0"/>
            </w:tcBorders>
            <w:tcW w:w="690"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highlight w:val="none"/>
              </w:rPr>
              <w:t xml:space="preserve">2.2</w:t>
            </w:r>
            <w:r>
              <w:rPr>
                <w:rFonts w:hint="default" w:ascii="Times New Roman" w:hAnsi="Times New Roman" w:eastAsia="仿宋" w:cs="Times New Roman"/>
                <w:color w:val="auto"/>
                <w:szCs w:val="21"/>
                <w:highlight w:val="none"/>
              </w:rPr>
              <w:t xml:space="preserve">质量保障方案（包括但不限于：检验检测制度、质量保证措施</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lang w:val="en-US" w:eastAsia="zh-CN"/>
              </w:rPr>
              <w:t xml:space="preserve">验收方案</w:t>
            </w:r>
            <w:r>
              <w:rPr>
                <w:rFonts w:hint="default" w:ascii="Times New Roman" w:hAnsi="Times New Roman" w:eastAsia="仿宋" w:cs="Times New Roman"/>
                <w:color w:val="auto"/>
                <w:szCs w:val="21"/>
                <w:highlight w:val="none"/>
              </w:rPr>
              <w:t xml:space="preserve">等）</w:t>
            </w:r>
            <w:r>
              <w:rPr>
                <w:rFonts w:hint="default" w:ascii="Times New Roman" w:hAnsi="Times New Roman" w:eastAsia="仿宋" w:cs="Times New Roman"/>
                <w:color w:val="auto"/>
                <w:szCs w:val="21"/>
                <w:highlight w:val="none"/>
                <w:lang w:bidi="ar"/>
              </w:rPr>
              <w:t xml:space="preserve">：</w:t>
            </w:r>
            <w:r/>
          </w:p>
          <w:p>
            <w:pPr>
              <w:numPr>
                <w:ilvl w:val="0"/>
                <w:numId w:val="4"/>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内容全面，描述清晰、流程节点明确、灵活度高，质量责任制度、检验检测制度健全，保证措施得当，能确保</w:t>
            </w:r>
            <w:r>
              <w:rPr>
                <w:rFonts w:hint="default" w:ascii="Times New Roman" w:hAnsi="Times New Roman" w:eastAsia="仿宋" w:cs="Times New Roman"/>
                <w:color w:val="auto"/>
                <w:szCs w:val="21"/>
                <w:highlight w:val="none"/>
                <w:lang w:val="en-US" w:eastAsia="zh-CN"/>
              </w:rPr>
              <w:t xml:space="preserve">系统的优质交付</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验收严谨、</w:t>
            </w:r>
            <w:r>
              <w:rPr>
                <w:rFonts w:hint="default" w:ascii="Times New Roman" w:hAnsi="Times New Roman" w:eastAsia="仿宋" w:cs="Times New Roman"/>
                <w:color w:val="auto"/>
                <w:szCs w:val="21"/>
                <w:highlight w:val="none"/>
              </w:rPr>
              <w:t xml:space="preserve">无明显瑕疵得</w:t>
            </w:r>
            <w:r>
              <w:rPr>
                <w:rFonts w:hint="eastAsia" w:eastAsia="仿宋" w:cs="Times New Roman"/>
                <w:color w:val="auto"/>
                <w:szCs w:val="21"/>
                <w:highlight w:val="none"/>
                <w:lang w:val="en-US" w:eastAsia="zh-CN"/>
              </w:rPr>
              <w:t xml:space="preserve">10</w:t>
            </w:r>
            <w:r>
              <w:rPr>
                <w:rFonts w:hint="default" w:ascii="Times New Roman" w:hAnsi="Times New Roman" w:eastAsia="仿宋" w:cs="Times New Roman"/>
                <w:color w:val="auto"/>
                <w:szCs w:val="21"/>
                <w:highlight w:val="none"/>
              </w:rPr>
              <w:t xml:space="preserve">分；</w:t>
            </w:r>
            <w:r/>
          </w:p>
          <w:p>
            <w:pPr>
              <w:numPr>
                <w:ilvl w:val="0"/>
                <w:numId w:val="4"/>
              </w:numPr>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内容全面，描述清晰、流程节点较清晰，质量责任制度、检验检测制度针对性较强</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lang w:val="en-US" w:eastAsia="zh-CN"/>
              </w:rPr>
              <w:t xml:space="preserve">验收方案详细科学</w:t>
            </w:r>
            <w:r>
              <w:rPr>
                <w:rFonts w:hint="default" w:ascii="Times New Roman" w:hAnsi="Times New Roman" w:eastAsia="仿宋" w:cs="Times New Roman"/>
                <w:color w:val="auto"/>
                <w:szCs w:val="21"/>
                <w:highlight w:val="none"/>
              </w:rPr>
              <w:t xml:space="preserve">的得</w:t>
            </w:r>
            <w:r>
              <w:rPr>
                <w:rFonts w:hint="eastAsia" w:eastAsia="仿宋" w:cs="Times New Roman"/>
                <w:color w:val="auto"/>
                <w:szCs w:val="21"/>
                <w:highlight w:val="none"/>
                <w:lang w:val="en-US" w:eastAsia="zh-CN"/>
              </w:rPr>
              <w:t xml:space="preserve">7</w:t>
            </w:r>
            <w:r>
              <w:rPr>
                <w:rFonts w:hint="default" w:ascii="Times New Roman" w:hAnsi="Times New Roman" w:eastAsia="仿宋" w:cs="Times New Roman"/>
                <w:color w:val="auto"/>
                <w:szCs w:val="21"/>
                <w:highlight w:val="none"/>
              </w:rPr>
              <w:t xml:space="preserve">分；</w:t>
            </w:r>
            <w:r/>
          </w:p>
          <w:p>
            <w:pPr>
              <w:numPr>
                <w:ilvl w:val="0"/>
                <w:numId w:val="4"/>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val="en-US" w:eastAsia="zh-CN"/>
              </w:rPr>
              <w:t xml:space="preserve">验收</w:t>
            </w:r>
            <w:r>
              <w:rPr>
                <w:rFonts w:hint="default" w:ascii="Times New Roman" w:hAnsi="Times New Roman" w:eastAsia="仿宋" w:cs="Times New Roman"/>
                <w:color w:val="auto"/>
                <w:szCs w:val="21"/>
                <w:highlight w:val="none"/>
              </w:rPr>
              <w:t xml:space="preserve">方案基本全面，质量责任制度、检验检测制度基本满足项目需求，操作性一般的得</w:t>
            </w:r>
            <w:r>
              <w:rPr>
                <w:rFonts w:hint="eastAsia"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rPr>
              <w:t xml:space="preserve">分；</w:t>
            </w:r>
            <w:r/>
          </w:p>
          <w:p>
            <w:pPr>
              <w:numPr>
                <w:ilvl w:val="0"/>
                <w:numId w:val="4"/>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未结合本项目进行论述，方案不完整、描述不清晰、针对性不强、流程节点不明确的的</w:t>
            </w:r>
            <w:r>
              <w:rPr>
                <w:rFonts w:hint="eastAsia" w:eastAsia="仿宋" w:cs="Times New Roman"/>
                <w:color w:val="auto"/>
                <w:szCs w:val="21"/>
                <w:highlight w:val="none"/>
                <w:lang w:val="en-US" w:eastAsia="zh-CN"/>
              </w:rPr>
              <w:t xml:space="preserve">1</w:t>
            </w:r>
            <w:r>
              <w:rPr>
                <w:rFonts w:hint="default" w:ascii="Times New Roman" w:hAnsi="Times New Roman" w:eastAsia="仿宋" w:cs="Times New Roman"/>
                <w:color w:val="auto"/>
                <w:szCs w:val="21"/>
                <w:highlight w:val="none"/>
              </w:rPr>
              <w:t xml:space="preserve">分</w:t>
            </w:r>
            <w:r>
              <w:rPr>
                <w:rFonts w:hint="eastAsia" w:eastAsia="仿宋" w:cs="Times New Roman"/>
                <w:color w:val="auto"/>
                <w:szCs w:val="21"/>
                <w:highlight w:val="none"/>
                <w:lang w:eastAsia="zh-CN"/>
              </w:rPr>
              <w:t xml:space="preserve">；</w:t>
            </w:r>
            <w:r/>
          </w:p>
          <w:p>
            <w:pPr>
              <w:numPr>
                <w:ilvl w:val="0"/>
                <w:numId w:val="4"/>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eastAsia" w:ascii="Times New Roman" w:hAnsi="Times New Roman" w:eastAsia="仿宋" w:cs="Times New Roman"/>
                <w:color w:val="auto"/>
                <w:szCs w:val="21"/>
                <w:highlight w:val="none"/>
              </w:rPr>
            </w:pPr>
            <w:r>
              <w:rPr>
                <w:rFonts w:hint="eastAsia" w:ascii="Times New Roman" w:eastAsia="仿宋" w:cs="Times New Roman"/>
                <w:color w:val="auto"/>
                <w:szCs w:val="21"/>
                <w:highlight w:val="none"/>
                <w:lang w:val="en-US" w:eastAsia="zh-CN"/>
              </w:rPr>
              <w:t xml:space="preserve">2.3</w:t>
            </w:r>
            <w:r>
              <w:rPr>
                <w:rFonts w:hint="eastAsia" w:ascii="Times New Roman" w:hAnsi="Times New Roman" w:eastAsia="仿宋" w:cs="Times New Roman"/>
                <w:color w:val="auto"/>
                <w:szCs w:val="21"/>
                <w:highlight w:val="none"/>
              </w:rPr>
              <w:t xml:space="preserve">安全保证措施方案：</w:t>
            </w:r>
            <w:r/>
          </w:p>
          <w:p>
            <w:pPr>
              <w:numPr>
                <w:ilvl w:val="0"/>
                <w:numId w:val="5"/>
              </w:numPr>
              <w:widowControl/>
              <w:rPr>
                <w:rFonts w:hint="eastAsia" w:ascii="Times New Roman" w:hAnsi="Times New Roman" w:eastAsia="仿宋" w:cs="Times New Roman"/>
                <w:color w:val="auto"/>
                <w:szCs w:val="21"/>
                <w:highlight w:val="none"/>
              </w:rPr>
            </w:pPr>
            <w:r>
              <w:rPr>
                <w:rFonts w:hint="eastAsia" w:ascii="Times New Roman" w:hAnsi="Times New Roman" w:eastAsia="仿宋" w:cs="Times New Roman"/>
                <w:color w:val="auto"/>
                <w:szCs w:val="21"/>
                <w:highlight w:val="none"/>
              </w:rPr>
              <w:t xml:space="preserve">安全保证措施内容全面合理，可行性高、完整性全面的得10分；</w:t>
            </w:r>
            <w:r/>
          </w:p>
          <w:p>
            <w:pPr>
              <w:numPr>
                <w:ilvl w:val="0"/>
                <w:numId w:val="5"/>
              </w:numPr>
              <w:widowControl/>
              <w:rPr>
                <w:rFonts w:hint="eastAsia" w:ascii="Times New Roman" w:hAnsi="Times New Roman" w:eastAsia="仿宋" w:cs="Times New Roman"/>
                <w:color w:val="auto"/>
                <w:szCs w:val="21"/>
                <w:highlight w:val="none"/>
              </w:rPr>
            </w:pPr>
            <w:r>
              <w:rPr>
                <w:rFonts w:hint="eastAsia" w:ascii="Times New Roman" w:hAnsi="Times New Roman" w:eastAsia="仿宋" w:cs="Times New Roman"/>
                <w:color w:val="auto"/>
                <w:szCs w:val="21"/>
                <w:highlight w:val="none"/>
              </w:rPr>
              <w:t xml:space="preserve">安全保证措施内容明确，可行性较高、完整性较全面的得7分；</w:t>
            </w:r>
            <w:r/>
          </w:p>
          <w:p>
            <w:pPr>
              <w:numPr>
                <w:ilvl w:val="0"/>
                <w:numId w:val="5"/>
              </w:numPr>
              <w:widowControl/>
              <w:rPr>
                <w:rFonts w:hint="eastAsia" w:ascii="Times New Roman" w:hAnsi="Times New Roman" w:eastAsia="仿宋" w:cs="Times New Roman"/>
                <w:color w:val="auto"/>
                <w:szCs w:val="21"/>
                <w:highlight w:val="none"/>
              </w:rPr>
            </w:pPr>
            <w:r>
              <w:rPr>
                <w:rFonts w:hint="eastAsia" w:ascii="Times New Roman" w:hAnsi="Times New Roman" w:eastAsia="仿宋" w:cs="Times New Roman"/>
                <w:color w:val="auto"/>
                <w:szCs w:val="21"/>
                <w:highlight w:val="none"/>
              </w:rPr>
              <w:t xml:space="preserve">安全保证措施内容简单，可行性较不明确、完整性不全面的得4分；</w:t>
            </w:r>
            <w:r/>
          </w:p>
          <w:p>
            <w:pPr>
              <w:numPr>
                <w:ilvl w:val="0"/>
                <w:numId w:val="5"/>
              </w:numPr>
              <w:widowControl/>
              <w:rPr>
                <w:rFonts w:hint="eastAsia" w:ascii="Times New Roman" w:hAnsi="Times New Roman" w:eastAsia="仿宋" w:cs="Times New Roman"/>
                <w:color w:val="auto"/>
                <w:szCs w:val="21"/>
                <w:highlight w:val="none"/>
              </w:rPr>
            </w:pPr>
            <w:r>
              <w:rPr>
                <w:rFonts w:hint="eastAsia" w:ascii="Times New Roman" w:hAnsi="Times New Roman" w:eastAsia="仿宋" w:cs="Times New Roman"/>
                <w:color w:val="auto"/>
                <w:szCs w:val="21"/>
                <w:highlight w:val="none"/>
              </w:rPr>
              <w:t xml:space="preserve">安全保证措施内容含糊不清或和本项目不吻合的得1分；</w:t>
            </w:r>
            <w:r/>
          </w:p>
          <w:p>
            <w:pPr>
              <w:numPr>
                <w:ilvl w:val="0"/>
                <w:numId w:val="5"/>
              </w:numPr>
              <w:widowControl/>
              <w:rPr>
                <w:rFonts w:hint="default" w:ascii="Times New Roman" w:hAnsi="Times New Roman" w:eastAsia="仿宋" w:cs="Times New Roman"/>
                <w:color w:val="auto"/>
                <w:szCs w:val="21"/>
                <w:highlight w:val="none"/>
                <w:lang w:val="en-US" w:eastAsia="zh-CN"/>
              </w:rPr>
            </w:pPr>
            <w:r>
              <w:rPr>
                <w:rFonts w:hint="eastAsia" w:ascii="Times New Roman" w:hAnsi="Times New Roman" w:eastAsia="仿宋" w:cs="Times New Roman"/>
                <w:color w:val="auto"/>
                <w:szCs w:val="21"/>
                <w:highlight w:val="none"/>
              </w:rPr>
              <w:t xml:space="preserve">未提供</w:t>
            </w:r>
            <w:r>
              <w:rPr>
                <w:rFonts w:hint="eastAsia" w:ascii="Times New Roman" w:hAnsi="Times New Roman" w:eastAsia="仿宋" w:cs="Times New Roman"/>
                <w:color w:val="auto"/>
                <w:szCs w:val="21"/>
                <w:highlight w:val="none"/>
                <w:lang w:val="en-US" w:eastAsia="zh-CN"/>
              </w:rPr>
              <w:t xml:space="preserve">方案</w:t>
            </w:r>
            <w:r>
              <w:rPr>
                <w:rFonts w:hint="eastAsia" w:ascii="Times New Roman" w:hAnsi="Times New Roman" w:eastAsia="仿宋" w:cs="Times New Roman"/>
                <w:color w:val="auto"/>
                <w:szCs w:val="21"/>
                <w:highlight w:val="none"/>
              </w:rPr>
              <w:t xml:space="preserve">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51"/>
          <w:tblHeader/>
        </w:trPr>
        <w:tc>
          <w:tcPr>
            <w:tcBorders>
              <w:left w:val="single" w:color="auto" w:sz="4" w:space="0"/>
              <w:right w:val="single" w:color="auto" w:sz="4" w:space="0"/>
            </w:tcBorders>
            <w:tcW w:w="690"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w:t>
            </w:r>
            <w:r>
              <w:rPr>
                <w:rFonts w:hint="eastAsia" w:ascii="Times New Roman" w:hAnsi="Times New Roman"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rPr>
              <w:t xml:space="preserve">售后服务方案（内容包括但不限于：售后服务人员配置、服务体系、服务内容及响应时间等）</w:t>
            </w:r>
            <w:r/>
          </w:p>
          <w:p>
            <w:pPr>
              <w:pStyle w:val="879"/>
              <w:numPr>
                <w:ilvl w:val="0"/>
                <w:numId w:val="6"/>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售后服务体系完善，内容全面并可操作性、针对性强，响应时间及时高效，人员配备专业，无明显瑕疵得</w:t>
            </w:r>
            <w:r>
              <w:rPr>
                <w:rFonts w:hint="eastAsia" w:ascii="Times New Roman" w:eastAsia="仿宋" w:cs="Times New Roman"/>
                <w:color w:val="auto"/>
                <w:szCs w:val="21"/>
                <w:highlight w:val="none"/>
                <w:lang w:val="en-US" w:eastAsia="zh-CN"/>
              </w:rPr>
              <w:t xml:space="preserve">10</w:t>
            </w:r>
            <w:r>
              <w:rPr>
                <w:rFonts w:hint="default" w:ascii="Times New Roman" w:hAnsi="Times New Roman" w:eastAsia="仿宋" w:cs="Times New Roman"/>
                <w:color w:val="auto"/>
                <w:szCs w:val="21"/>
                <w:highlight w:val="none"/>
              </w:rPr>
              <w:t xml:space="preserve">分；</w:t>
            </w:r>
            <w:r/>
          </w:p>
          <w:p>
            <w:pPr>
              <w:pStyle w:val="879"/>
              <w:numPr>
                <w:ilvl w:val="0"/>
                <w:numId w:val="6"/>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售后服务方案较为全面、描述较为详细，考虑周全具有一定针对性，人员配备专业的得</w:t>
            </w:r>
            <w:r>
              <w:rPr>
                <w:rFonts w:hint="eastAsia" w:ascii="Times New Roman" w:eastAsia="仿宋" w:cs="Times New Roman"/>
                <w:color w:val="auto"/>
                <w:szCs w:val="21"/>
                <w:highlight w:val="none"/>
                <w:lang w:val="en-US" w:eastAsia="zh-CN"/>
              </w:rPr>
              <w:t xml:space="preserve">7</w:t>
            </w:r>
            <w:r>
              <w:rPr>
                <w:rFonts w:hint="default" w:ascii="Times New Roman" w:hAnsi="Times New Roman" w:eastAsia="仿宋" w:cs="Times New Roman"/>
                <w:color w:val="auto"/>
                <w:szCs w:val="21"/>
                <w:highlight w:val="none"/>
              </w:rPr>
              <w:t xml:space="preserve">分；</w:t>
            </w:r>
            <w:r/>
          </w:p>
          <w:p>
            <w:pPr>
              <w:pStyle w:val="879"/>
              <w:numPr>
                <w:ilvl w:val="0"/>
                <w:numId w:val="6"/>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售后服务方案基本符合项目需求，具有可操作性，响应时间基本及时的得</w:t>
            </w:r>
            <w:r>
              <w:rPr>
                <w:rFonts w:hint="eastAsia" w:ascii="Times New Roman"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rPr>
              <w:t xml:space="preserve">分；</w:t>
            </w:r>
            <w:r/>
          </w:p>
          <w:p>
            <w:pPr>
              <w:pStyle w:val="879"/>
              <w:numPr>
                <w:ilvl w:val="0"/>
                <w:numId w:val="6"/>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售后服务方案比较简略，针对性，可行性较弱的得</w:t>
            </w:r>
            <w:r>
              <w:rPr>
                <w:rFonts w:hint="eastAsia" w:ascii="Times New Roman" w:eastAsia="仿宋" w:cs="Times New Roman"/>
                <w:color w:val="auto"/>
                <w:szCs w:val="21"/>
                <w:highlight w:val="none"/>
                <w:lang w:val="en-US" w:eastAsia="zh-CN"/>
              </w:rPr>
              <w:t xml:space="preserve">1</w:t>
            </w:r>
            <w:r>
              <w:rPr>
                <w:rFonts w:hint="default" w:ascii="Times New Roman" w:hAnsi="Times New Roman" w:eastAsia="仿宋" w:cs="Times New Roman"/>
                <w:color w:val="auto"/>
                <w:szCs w:val="21"/>
                <w:highlight w:val="none"/>
              </w:rPr>
              <w:t xml:space="preserve">分；</w:t>
            </w:r>
            <w:r/>
          </w:p>
          <w:p>
            <w:pPr>
              <w:pStyle w:val="880"/>
              <w:ind w:firstLine="0"/>
              <w:spacing w:line="240" w:lineRule="auto"/>
              <w:rPr>
                <w:rFonts w:hint="default"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lang w:val="en-US" w:eastAsia="zh-CN" w:bidi="ar-SA"/>
              </w:rPr>
              <w:t xml:space="preserve">（5）</w:t>
            </w:r>
            <w:r>
              <w:rPr>
                <w:rFonts w:hint="default" w:ascii="Times New Roman" w:hAnsi="Times New Roman" w:eastAsia="仿宋" w:cs="Times New Roman"/>
                <w:color w:val="auto"/>
                <w:sz w:val="21"/>
                <w:szCs w:val="21"/>
                <w:highlight w:val="none"/>
                <w:lang w:val="en-US" w:eastAsia="zh-CN" w:bidi="ar-SA"/>
              </w:rPr>
              <w:t xml:space="preserve">未提供方案的不得分。</w:t>
            </w:r>
            <w:r/>
          </w:p>
        </w:tc>
        <w:tc>
          <w:tcPr>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51"/>
          <w:tblHeader/>
        </w:trPr>
        <w:tc>
          <w:tcPr>
            <w:shd w:val="clear" w:color="auto" w:fill="auto"/>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lang w:val="en-US" w:eastAsia="zh-CN" w:bidi="ar-SA"/>
              </w:rPr>
            </w:pPr>
            <w:r>
              <w:rPr>
                <w:rFonts w:hint="default" w:ascii="Times New Roman" w:hAnsi="Times New Roman" w:eastAsia="仿宋" w:cs="Times New Roman"/>
                <w:color w:val="auto"/>
                <w:szCs w:val="21"/>
                <w:highlight w:val="none"/>
              </w:rPr>
              <w:t xml:space="preserve">3</w:t>
            </w:r>
            <w:r/>
          </w:p>
        </w:tc>
        <w:tc>
          <w:tcPr>
            <w:shd w:val="clear" w:color="auto" w:fill="auto"/>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业绩</w:t>
            </w:r>
            <w:r/>
          </w:p>
          <w:p>
            <w:pPr>
              <w:jc w:val="center"/>
              <w:rPr>
                <w:rFonts w:hint="default" w:ascii="Times New Roman" w:hAnsi="Times New Roman" w:eastAsia="仿宋" w:cs="Times New Roman"/>
                <w:color w:val="auto"/>
                <w:sz w:val="21"/>
                <w:szCs w:val="24"/>
                <w:highlight w:val="none"/>
                <w:lang w:val="en-US" w:eastAsia="zh-CN" w:bidi="ar-SA"/>
              </w:rPr>
            </w:pPr>
            <w:r>
              <w:rPr>
                <w:rFonts w:hint="default" w:ascii="Times New Roman" w:hAnsi="Times New Roman" w:eastAsia="仿宋" w:cs="Times New Roman"/>
                <w:color w:val="auto"/>
                <w:szCs w:val="21"/>
                <w:highlight w:val="none"/>
              </w:rPr>
              <w:t xml:space="preserve">（</w:t>
            </w:r>
            <w:r>
              <w:rPr>
                <w:rFonts w:hint="eastAsia" w:eastAsia="仿宋" w:cs="Times New Roman"/>
                <w:color w:val="auto"/>
                <w:szCs w:val="21"/>
                <w:highlight w:val="none"/>
                <w:lang w:val="en-US" w:eastAsia="zh-CN"/>
              </w:rPr>
              <w:t xml:space="preserve">6</w:t>
            </w:r>
            <w:r>
              <w:rPr>
                <w:rFonts w:hint="default" w:ascii="Times New Roman" w:hAnsi="Times New Roman" w:eastAsia="仿宋" w:cs="Times New Roman"/>
                <w:color w:val="auto"/>
                <w:szCs w:val="21"/>
                <w:highlight w:val="none"/>
              </w:rPr>
              <w:t xml:space="preserve">分）</w:t>
            </w:r>
            <w:r/>
          </w:p>
        </w:tc>
        <w:tc>
          <w:tcPr>
            <w:shd w:val="clear" w:color="auto" w:fill="auto"/>
            <w:tcBorders>
              <w:top w:val="single" w:color="auto" w:sz="4" w:space="0"/>
              <w:left w:val="single" w:color="auto" w:sz="4" w:space="0"/>
              <w:right w:val="single" w:color="auto" w:sz="4" w:space="0"/>
            </w:tcBorders>
            <w:tcW w:w="5565" w:type="dxa"/>
            <w:vAlign w:val="center"/>
            <w:textDirection w:val="lrTb"/>
            <w:noWrap w:val="false"/>
          </w:tcPr>
          <w:p>
            <w:pPr>
              <w:pStyle w:val="880"/>
              <w:ind w:firstLine="0"/>
              <w:spacing w:line="240" w:lineRule="auto"/>
              <w:rPr>
                <w:rFonts w:hint="default" w:ascii="Times New Roman" w:hAnsi="Times New Roman" w:eastAsia="仿宋" w:cs="Times New Roman"/>
                <w:color w:val="auto"/>
                <w:sz w:val="21"/>
                <w:szCs w:val="21"/>
                <w:highlight w:val="none"/>
                <w:lang w:val="en-US" w:eastAsia="zh-CN" w:bidi="ar-SA"/>
              </w:rPr>
            </w:pPr>
            <w:r>
              <w:rPr>
                <w:rFonts w:hint="default" w:ascii="Times New Roman" w:hAnsi="Times New Roman" w:eastAsia="仿宋" w:cs="Times New Roman"/>
                <w:color w:val="auto"/>
                <w:sz w:val="21"/>
                <w:szCs w:val="21"/>
                <w:highlight w:val="none"/>
              </w:rPr>
              <w:t xml:space="preserve">供应商自2021年1月1日（含）以来承接的类似</w:t>
            </w:r>
            <w:r>
              <w:rPr>
                <w:rFonts w:hint="eastAsia" w:ascii="Times New Roman" w:hAnsi="Times New Roman" w:eastAsia="仿宋" w:cs="Times New Roman"/>
                <w:color w:val="auto"/>
                <w:sz w:val="21"/>
                <w:szCs w:val="21"/>
                <w:highlight w:val="none"/>
                <w:lang w:val="en-US" w:eastAsia="zh-CN"/>
              </w:rPr>
              <w:t xml:space="preserve">项目供货</w:t>
            </w:r>
            <w:r>
              <w:rPr>
                <w:rFonts w:hint="default" w:ascii="Times New Roman" w:hAnsi="Times New Roman" w:eastAsia="仿宋" w:cs="Times New Roman"/>
                <w:color w:val="auto"/>
                <w:sz w:val="21"/>
                <w:szCs w:val="21"/>
                <w:highlight w:val="none"/>
              </w:rPr>
              <w:t xml:space="preserve">业绩，每提供一个得</w:t>
            </w:r>
            <w:r>
              <w:rPr>
                <w:rFonts w:hint="eastAsia"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分，本项最多</w:t>
            </w:r>
            <w:r>
              <w:rPr>
                <w:rFonts w:hint="eastAsia" w:ascii="Times New Roman" w:hAnsi="Times New Roman" w:eastAsia="仿宋" w:cs="Times New Roman"/>
                <w:color w:val="auto"/>
                <w:sz w:val="21"/>
                <w:szCs w:val="21"/>
                <w:highlight w:val="none"/>
                <w:lang w:val="en-US" w:eastAsia="zh-CN"/>
              </w:rPr>
              <w:t xml:space="preserve">得6</w:t>
            </w:r>
            <w:r>
              <w:rPr>
                <w:rFonts w:hint="default" w:ascii="Times New Roman" w:hAnsi="Times New Roman" w:eastAsia="仿宋" w:cs="Times New Roman"/>
                <w:color w:val="auto"/>
                <w:sz w:val="21"/>
                <w:szCs w:val="21"/>
                <w:highlight w:val="none"/>
              </w:rPr>
              <w:t xml:space="preserve">分。（提供合同扫描件加盖</w:t>
            </w:r>
            <w:r>
              <w:rPr>
                <w:rFonts w:hint="eastAsia" w:ascii="Times New Roman" w:hAnsi="Times New Roman" w:eastAsia="仿宋" w:cs="Times New Roman"/>
                <w:color w:val="auto"/>
                <w:sz w:val="21"/>
                <w:szCs w:val="21"/>
                <w:highlight w:val="none"/>
                <w:lang w:val="en-US" w:eastAsia="zh-CN"/>
              </w:rPr>
              <w:t xml:space="preserve">供应商</w:t>
            </w:r>
            <w:r>
              <w:rPr>
                <w:rFonts w:hint="default" w:ascii="Times New Roman" w:hAnsi="Times New Roman" w:eastAsia="仿宋" w:cs="Times New Roman"/>
                <w:color w:val="auto"/>
                <w:sz w:val="21"/>
                <w:szCs w:val="21"/>
                <w:highlight w:val="none"/>
                <w:lang w:val="en-US" w:eastAsia="zh-CN"/>
              </w:rPr>
              <w:t xml:space="preserve">电子</w:t>
            </w:r>
            <w:r>
              <w:rPr>
                <w:rFonts w:hint="default" w:ascii="Times New Roman" w:hAnsi="Times New Roman" w:eastAsia="仿宋" w:cs="Times New Roman"/>
                <w:color w:val="auto"/>
                <w:sz w:val="21"/>
                <w:szCs w:val="21"/>
                <w:highlight w:val="none"/>
              </w:rPr>
              <w:t xml:space="preserve">公章，提供的证明材料须反映相关内容，否则不得分）</w:t>
            </w:r>
            <w:r/>
          </w:p>
        </w:tc>
        <w:tc>
          <w:tcPr>
            <w:shd w:val="clear" w:color="auto" w:fill="auto"/>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 w:val="21"/>
                <w:szCs w:val="21"/>
                <w:highlight w:val="none"/>
                <w:lang w:val="en-US" w:eastAsia="zh-CN" w:bidi="ar-SA"/>
              </w:rPr>
            </w:pPr>
            <w:r>
              <w:rPr>
                <w:rFonts w:hint="eastAsia" w:eastAsia="仿宋" w:cs="Times New Roman"/>
                <w:color w:val="auto"/>
                <w:szCs w:val="21"/>
                <w:highlight w:val="none"/>
                <w:lang w:val="en-US" w:eastAsia="zh-CN"/>
              </w:rPr>
              <w:t xml:space="preserve">6</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客观分</w:t>
            </w:r>
            <w:r/>
          </w:p>
        </w:tc>
      </w:tr>
      <w:tr>
        <w:trPr>
          <w:trHeight w:val="651"/>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w:t>
            </w:r>
            <w:r/>
          </w:p>
        </w:tc>
        <w:tc>
          <w:tcPr>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技术参数响应</w:t>
            </w:r>
            <w:r/>
          </w:p>
          <w:p>
            <w:pPr>
              <w:pStyle w:val="864"/>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b w:val="0"/>
                <w:bCs w:val="0"/>
                <w:color w:val="auto"/>
                <w:sz w:val="21"/>
                <w:szCs w:val="21"/>
                <w:highlight w:val="none"/>
              </w:rPr>
              <w:t xml:space="preserve">（</w:t>
            </w:r>
            <w:r>
              <w:rPr>
                <w:rFonts w:hint="eastAsia" w:eastAsia="仿宋" w:cs="Times New Roman"/>
                <w:b w:val="0"/>
                <w:bCs w:val="0"/>
                <w:color w:val="auto"/>
                <w:sz w:val="21"/>
                <w:szCs w:val="21"/>
                <w:highlight w:val="none"/>
                <w:lang w:val="en-US" w:eastAsia="zh-CN"/>
              </w:rPr>
              <w:t xml:space="preserve">24</w:t>
            </w:r>
            <w:r>
              <w:rPr>
                <w:rFonts w:hint="default" w:ascii="Times New Roman" w:hAnsi="Times New Roman" w:eastAsia="仿宋" w:cs="Times New Roman"/>
                <w:b w:val="0"/>
                <w:bCs w:val="0"/>
                <w:color w:val="auto"/>
                <w:sz w:val="21"/>
                <w:szCs w:val="21"/>
                <w:highlight w:val="none"/>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eastAsia="仿宋"/>
                <w:color w:val="auto"/>
                <w:szCs w:val="21"/>
                <w:highlight w:val="none"/>
                <w:lang w:val="zh-CN"/>
              </w:rPr>
            </w:pPr>
            <w:r>
              <w:rPr>
                <w:rFonts w:eastAsia="仿宋"/>
                <w:color w:val="auto"/>
                <w:szCs w:val="21"/>
                <w:highlight w:val="none"/>
                <w:lang w:val="zh-CN"/>
              </w:rPr>
              <w:t xml:space="preserve">根据</w:t>
            </w:r>
            <w:r>
              <w:rPr>
                <w:rFonts w:hint="eastAsia" w:eastAsia="仿宋"/>
                <w:color w:val="auto"/>
                <w:szCs w:val="21"/>
                <w:highlight w:val="none"/>
                <w:lang w:val="en-US" w:eastAsia="zh-CN"/>
              </w:rPr>
              <w:t xml:space="preserve">供应商</w:t>
            </w:r>
            <w:r>
              <w:rPr>
                <w:rFonts w:eastAsia="仿宋"/>
                <w:color w:val="auto"/>
                <w:szCs w:val="21"/>
                <w:highlight w:val="none"/>
                <w:lang w:val="zh-CN"/>
              </w:rPr>
              <w:t xml:space="preserve">对第四章采购需求中“技术参数</w:t>
            </w:r>
            <w:r>
              <w:rPr>
                <w:rFonts w:hint="eastAsia" w:eastAsia="仿宋"/>
                <w:color w:val="auto"/>
                <w:szCs w:val="21"/>
                <w:highlight w:val="none"/>
                <w:lang w:val="en-US" w:eastAsia="zh-CN"/>
              </w:rPr>
              <w:t xml:space="preserve">要求</w:t>
            </w:r>
            <w:r>
              <w:rPr>
                <w:rFonts w:eastAsia="仿宋"/>
                <w:color w:val="auto"/>
                <w:szCs w:val="21"/>
                <w:highlight w:val="none"/>
                <w:lang w:val="zh-CN"/>
              </w:rPr>
              <w:t xml:space="preserve">”响应情况进行评分，</w:t>
            </w:r>
            <w:r>
              <w:rPr>
                <w:rFonts w:eastAsia="仿宋"/>
                <w:color w:val="auto"/>
                <w:szCs w:val="21"/>
                <w:highlight w:val="none"/>
              </w:rPr>
              <w:t xml:space="preserve">全部满足招标文件要求的得满分</w:t>
            </w:r>
            <w:r>
              <w:rPr>
                <w:rFonts w:hint="eastAsia" w:eastAsia="仿宋"/>
                <w:color w:val="auto"/>
                <w:szCs w:val="21"/>
                <w:highlight w:val="none"/>
                <w:lang w:val="en-US" w:eastAsia="zh-CN"/>
              </w:rPr>
              <w:t xml:space="preserve">24</w:t>
            </w:r>
            <w:r>
              <w:rPr>
                <w:rFonts w:eastAsia="仿宋"/>
                <w:color w:val="auto"/>
                <w:szCs w:val="21"/>
                <w:highlight w:val="none"/>
              </w:rPr>
              <w:t xml:space="preserve">分；标注</w:t>
            </w:r>
            <w:r>
              <w:rPr>
                <w:rFonts w:eastAsia="仿宋"/>
                <w:color w:val="auto"/>
                <w:szCs w:val="21"/>
                <w:highlight w:val="none"/>
                <w:lang w:val="zh-CN"/>
              </w:rPr>
              <w:t xml:space="preserve">▲</w:t>
            </w:r>
            <w:r>
              <w:rPr>
                <w:rFonts w:eastAsia="仿宋"/>
                <w:color w:val="auto"/>
                <w:szCs w:val="21"/>
                <w:highlight w:val="none"/>
              </w:rPr>
              <w:t xml:space="preserve">参数为重要指标，有一项</w:t>
            </w:r>
            <w:r>
              <w:rPr>
                <w:rFonts w:eastAsia="仿宋"/>
                <w:color w:val="auto"/>
                <w:szCs w:val="21"/>
                <w:highlight w:val="none"/>
                <w:lang w:val="zh-CN"/>
              </w:rPr>
              <w:t xml:space="preserve">负偏离扣</w:t>
            </w:r>
            <w:r>
              <w:rPr>
                <w:rFonts w:hint="eastAsia" w:eastAsia="仿宋"/>
                <w:color w:val="auto"/>
                <w:szCs w:val="21"/>
                <w:highlight w:val="none"/>
                <w:lang w:val="en-US" w:eastAsia="zh-CN"/>
              </w:rPr>
              <w:t xml:space="preserve">1</w:t>
            </w:r>
            <w:r>
              <w:rPr>
                <w:rFonts w:eastAsia="仿宋"/>
                <w:color w:val="auto"/>
                <w:szCs w:val="21"/>
                <w:highlight w:val="none"/>
                <w:lang w:val="zh-CN"/>
              </w:rPr>
              <w:t xml:space="preserve">分；其他指标</w:t>
            </w:r>
            <w:r>
              <w:rPr>
                <w:rFonts w:eastAsia="仿宋"/>
                <w:color w:val="auto"/>
                <w:szCs w:val="21"/>
                <w:highlight w:val="none"/>
              </w:rPr>
              <w:t xml:space="preserve">有一项</w:t>
            </w:r>
            <w:r>
              <w:rPr>
                <w:rFonts w:eastAsia="仿宋"/>
                <w:color w:val="auto"/>
                <w:szCs w:val="21"/>
                <w:highlight w:val="none"/>
                <w:lang w:val="zh-CN"/>
              </w:rPr>
              <w:t xml:space="preserve">负偏离扣</w:t>
            </w:r>
            <w:r>
              <w:rPr>
                <w:rFonts w:eastAsia="仿宋"/>
                <w:color w:val="auto"/>
                <w:szCs w:val="21"/>
                <w:highlight w:val="none"/>
              </w:rPr>
              <w:t xml:space="preserve">0.</w:t>
            </w:r>
            <w:r>
              <w:rPr>
                <w:rFonts w:hint="eastAsia" w:eastAsia="仿宋"/>
                <w:color w:val="auto"/>
                <w:szCs w:val="21"/>
                <w:highlight w:val="none"/>
                <w:lang w:val="en-US" w:eastAsia="zh-CN"/>
              </w:rPr>
              <w:t xml:space="preserve">15</w:t>
            </w:r>
            <w:r>
              <w:rPr>
                <w:rFonts w:eastAsia="仿宋"/>
                <w:color w:val="auto"/>
                <w:szCs w:val="21"/>
                <w:highlight w:val="none"/>
                <w:lang w:val="zh-CN"/>
              </w:rPr>
              <w:t xml:space="preserve">分，扣完为止。</w:t>
            </w:r>
            <w:r>
              <w:rPr>
                <w:rFonts w:hint="default" w:ascii="Times New Roman" w:hAnsi="Times New Roman" w:eastAsia="仿宋" w:cs="Times New Roman"/>
                <w:color w:val="auto"/>
                <w:sz w:val="21"/>
                <w:szCs w:val="21"/>
                <w:highlight w:val="none"/>
              </w:rPr>
              <w:t xml:space="preserve">严重负偏离影响设备性能的经半数以上评委认定，本项得零分。</w:t>
            </w:r>
            <w:r/>
          </w:p>
          <w:p>
            <w:pPr>
              <w:pStyle w:val="880"/>
              <w:ind w:firstLine="0"/>
              <w:spacing w:line="240" w:lineRule="auto"/>
              <w:rPr>
                <w:rFonts w:hint="default" w:ascii="Times New Roman" w:hAnsi="Times New Roman" w:eastAsia="仿宋" w:cs="Times New Roman"/>
                <w:color w:val="auto"/>
                <w:sz w:val="21"/>
                <w:szCs w:val="21"/>
                <w:highlight w:val="none"/>
                <w:lang w:val="en-US" w:eastAsia="zh-CN"/>
              </w:rPr>
            </w:pPr>
            <w:r>
              <w:rPr>
                <w:rFonts w:hint="eastAsia" w:ascii="Times New Roman" w:hAnsi="Times New Roman" w:eastAsia="仿宋" w:cs="Times New Roman"/>
                <w:color w:val="auto"/>
                <w:sz w:val="21"/>
                <w:szCs w:val="21"/>
                <w:highlight w:val="none"/>
                <w:lang w:val="en-US" w:eastAsia="zh-CN"/>
              </w:rPr>
              <w:t xml:space="preserve">注：供应商提供《技术条款响应表》。</w:t>
            </w:r>
            <w:r/>
          </w:p>
        </w:tc>
        <w:tc>
          <w:tcPr>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24</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说明：</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1.所有认证、证明和业绩均以有效清晰的证明文件的扫描件为依据。</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2.小微企业</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对于专门面向中小企业或小型、微型企业的项目，只面向中小企业或小型、微型企业采</w:t>
      </w:r>
      <w:r>
        <w:rPr>
          <w:rFonts w:hint="default" w:ascii="Times New Roman" w:hAnsi="Times New Roman" w:eastAsia="仿宋" w:cs="Times New Roman"/>
          <w:color w:val="auto"/>
          <w:spacing w:val="-3"/>
          <w:sz w:val="24"/>
          <w:highlight w:val="none"/>
        </w:rPr>
        <w:t xml:space="preserve">购。对于非专门面向中小企业的项目，对小型和微型企业的价格给予10%的扣除，用扣除后的价</w:t>
      </w:r>
      <w:r>
        <w:rPr>
          <w:rFonts w:hint="default" w:ascii="Times New Roman" w:hAnsi="Times New Roman" w:eastAsia="仿宋" w:cs="Times New Roman"/>
          <w:color w:val="auto"/>
          <w:spacing w:val="-82"/>
          <w:sz w:val="24"/>
          <w:highlight w:val="none"/>
        </w:rPr>
        <w:t xml:space="preserve"> </w:t>
      </w:r>
      <w:r>
        <w:rPr>
          <w:rFonts w:hint="default" w:ascii="Times New Roman" w:hAnsi="Times New Roman" w:eastAsia="仿宋" w:cs="Times New Roman"/>
          <w:color w:val="auto"/>
          <w:sz w:val="24"/>
          <w:highlight w:val="none"/>
        </w:rPr>
        <w:t xml:space="preserve">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3.监狱和戒毒企业</w:t>
      </w:r>
      <w:r/>
    </w:p>
    <w:p>
      <w:pPr>
        <w:pStyle w:val="828"/>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3.1本项目对监狱和戒毒企业，给予</w:t>
      </w:r>
      <w:r>
        <w:rPr>
          <w:rFonts w:hint="default" w:ascii="Times New Roman" w:hAnsi="Times New Roman" w:eastAsia="仿宋" w:cs="Times New Roman"/>
          <w:b w:val="0"/>
          <w:bCs w:val="0"/>
          <w:color w:val="auto"/>
          <w:spacing w:val="-57"/>
          <w:sz w:val="24"/>
          <w:highlight w:val="none"/>
        </w:rPr>
        <w:t xml:space="preserve"> </w:t>
      </w:r>
      <w:r>
        <w:rPr>
          <w:rFonts w:hint="default" w:ascii="Times New Roman" w:hAnsi="Times New Roman" w:eastAsia="仿宋" w:cs="Times New Roman"/>
          <w:b w:val="0"/>
          <w:bCs w:val="0"/>
          <w:color w:val="auto"/>
          <w:sz w:val="24"/>
          <w:highlight w:val="none"/>
        </w:rPr>
        <w:t xml:space="preserve">10%的价格扣除，用扣除后的价格参与评审。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3.2监狱企业需提供由省级以上监狱管理局、戒毒管理局（含新疆生产建设兵团）出具的属于监狱企业的证明文件。</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3.3监狱企业标准请参照《关于政府采购支持监狱企业发展有关问题的通知》（财库〔2014〕68号）。</w:t>
      </w:r>
      <w:r/>
    </w:p>
    <w:p>
      <w:pPr>
        <w:numPr>
          <w:ilvl w:val="0"/>
          <w:numId w:val="7"/>
        </w:num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残疾人福利性单位</w:t>
      </w:r>
      <w:r/>
    </w:p>
    <w:p>
      <w:pPr>
        <w:pStyle w:val="828"/>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4.1 本项目对残疾人福利性单位，给予10%的价格扣除，用扣除后的价格参与评审。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4.2残疾人福利性单位需提供《残疾人福利性单位声明函》。</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4.3 残疾人福利性单位标准请参照《关于促进残疾人就业政府采购政策的通知》（财库〔2017〕141号）。</w:t>
      </w:r>
      <w:r/>
    </w:p>
    <w:p>
      <w:pPr>
        <w:pStyle w:val="828"/>
        <w:jc w:val="both"/>
        <w:spacing w:line="360" w:lineRule="auto"/>
        <w:rPr>
          <w:rFonts w:hint="default" w:ascii="Times New Roman" w:hAnsi="Times New Roman" w:eastAsia="仿宋" w:cs="Times New Roman"/>
          <w:b w:val="0"/>
          <w:color w:val="auto"/>
          <w:sz w:val="24"/>
          <w:highlight w:val="none"/>
        </w:rPr>
      </w:pPr>
      <w:r>
        <w:rPr>
          <w:rFonts w:hint="default" w:ascii="Times New Roman" w:hAnsi="Times New Roman" w:eastAsia="仿宋" w:cs="Times New Roman"/>
          <w:b w:val="0"/>
          <w:color w:val="auto"/>
          <w:sz w:val="24"/>
          <w:highlight w:val="none"/>
        </w:rPr>
        <w:t xml:space="preserve">5.监狱企业、残疾人福利性单位属于小型、微型企业的，不重复享受政策。</w:t>
      </w:r>
      <w:r/>
    </w:p>
    <w:p>
      <w:pPr>
        <w:pStyle w:val="828"/>
        <w:jc w:val="both"/>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val="0"/>
          <w:bCs w:val="0"/>
          <w:color w:val="auto"/>
          <w:sz w:val="24"/>
          <w:highlight w:val="none"/>
        </w:rPr>
        <w:t xml:space="preserve">6.对国家认定的节能产品和环保产品分别给予投标价的</w:t>
      </w:r>
      <w:r>
        <w:rPr>
          <w:rFonts w:hint="default" w:ascii="Times New Roman" w:hAnsi="Times New Roman" w:eastAsia="仿宋" w:cs="Times New Roman"/>
          <w:b w:val="0"/>
          <w:bCs w:val="0"/>
          <w:color w:val="auto"/>
          <w:spacing w:val="55"/>
          <w:sz w:val="24"/>
          <w:highlight w:val="none"/>
        </w:rPr>
        <w:t xml:space="preserve">5</w:t>
      </w:r>
      <w:r>
        <w:rPr>
          <w:rFonts w:hint="default" w:ascii="Times New Roman" w:hAnsi="Times New Roman" w:eastAsia="仿宋" w:cs="Times New Roman"/>
          <w:b w:val="0"/>
          <w:bCs w:val="0"/>
          <w:color w:val="auto"/>
          <w:sz w:val="24"/>
          <w:highlight w:val="none"/>
        </w:rPr>
        <w:t xml:space="preserve">%的价格扣除，用扣除后的价格参</w:t>
      </w:r>
      <w:r>
        <w:rPr>
          <w:rFonts w:hint="default" w:ascii="Times New Roman" w:hAnsi="Times New Roman" w:eastAsia="仿宋" w:cs="Times New Roman"/>
          <w:b w:val="0"/>
          <w:bCs w:val="0"/>
          <w:color w:val="auto"/>
          <w:spacing w:val="-5"/>
          <w:sz w:val="24"/>
          <w:highlight w:val="none"/>
        </w:rPr>
        <w:t xml:space="preserve">与评审（节能、环保产品必须纳入“中国政府采购网 </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"http://www.ccgp.gov.cn/" \h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val="0"/>
          <w:bCs w:val="0"/>
          <w:color w:val="auto"/>
          <w:spacing w:val="-3"/>
          <w:sz w:val="24"/>
          <w:highlight w:val="none"/>
        </w:rPr>
        <w:t xml:space="preserve">http://www.ccgp.gov.cn/</w:t>
      </w:r>
      <w:r>
        <w:rPr>
          <w:rFonts w:hint="default" w:ascii="Times New Roman" w:hAnsi="Times New Roman" w:eastAsia="仿宋" w:cs="Times New Roman"/>
          <w:b w:val="0"/>
          <w:bCs w:val="0"/>
          <w:color w:val="auto"/>
          <w:spacing w:val="-3"/>
          <w:sz w:val="24"/>
          <w:highlight w:val="none"/>
        </w:rPr>
        <w:fldChar w:fldCharType="end"/>
      </w:r>
      <w:r>
        <w:rPr>
          <w:rFonts w:hint="default" w:ascii="Times New Roman" w:hAnsi="Times New Roman" w:eastAsia="仿宋" w:cs="Times New Roman"/>
          <w:b w:val="0"/>
          <w:bCs w:val="0"/>
          <w:color w:val="auto"/>
          <w:spacing w:val="-3"/>
          <w:sz w:val="24"/>
          <w:highlight w:val="none"/>
        </w:rPr>
        <w:t xml:space="preserve">”等官方网站“节能、环</w:t>
      </w:r>
      <w:r>
        <w:rPr>
          <w:rFonts w:hint="default" w:ascii="Times New Roman" w:hAnsi="Times New Roman" w:eastAsia="仿宋" w:cs="Times New Roman"/>
          <w:b w:val="0"/>
          <w:bCs w:val="0"/>
          <w:color w:val="auto"/>
          <w:spacing w:val="-88"/>
          <w:sz w:val="24"/>
          <w:highlight w:val="none"/>
        </w:rPr>
        <w:t xml:space="preserve"> </w:t>
      </w:r>
      <w:r>
        <w:rPr>
          <w:rFonts w:hint="default" w:ascii="Times New Roman" w:hAnsi="Times New Roman" w:eastAsia="仿宋" w:cs="Times New Roman"/>
          <w:b w:val="0"/>
          <w:bCs w:val="0"/>
          <w:color w:val="auto"/>
          <w:sz w:val="24"/>
          <w:highlight w:val="none"/>
        </w:rPr>
        <w:t xml:space="preserve">保产品查询系统”，且以提供的证书扫描件为准）。</w:t>
      </w:r>
      <w:r>
        <w:rPr>
          <w:rFonts w:hint="default" w:ascii="Times New Roman" w:hAnsi="Times New Roman" w:eastAsia="仿宋" w:cs="Times New Roman"/>
          <w:color w:val="auto"/>
          <w:sz w:val="24"/>
          <w:highlight w:val="none"/>
        </w:rPr>
        <w:br w:type="page" w:clear="all"/>
      </w:r>
      <w:r/>
    </w:p>
    <w:p>
      <w:pPr>
        <w:pStyle w:val="817"/>
        <w:spacing w:line="360" w:lineRule="auto"/>
        <w:rPr>
          <w:rFonts w:hint="default" w:ascii="Times New Roman" w:hAnsi="Times New Roman" w:eastAsia="仿宋" w:cs="Times New Roman"/>
          <w:color w:val="auto"/>
          <w:szCs w:val="32"/>
          <w:highlight w:val="none"/>
        </w:rPr>
      </w:pPr>
      <w:r/>
      <w:bookmarkStart w:id="147" w:name="_Toc31739"/>
      <w:r/>
      <w:bookmarkStart w:id="148" w:name="_Hlk96071152"/>
      <w:r/>
      <w:bookmarkStart w:id="149" w:name="_Toc481057147"/>
      <w:r>
        <w:rPr>
          <w:rFonts w:hint="default" w:ascii="Times New Roman" w:hAnsi="Times New Roman" w:eastAsia="仿宋" w:cs="Times New Roman"/>
          <w:color w:val="auto"/>
          <w:szCs w:val="32"/>
          <w:highlight w:val="none"/>
        </w:rPr>
        <w:t xml:space="preserve"> </w:t>
      </w:r>
      <w:bookmarkStart w:id="150" w:name="_Toc830"/>
      <w:r/>
      <w:bookmarkStart w:id="151" w:name="_Toc16366"/>
      <w:r>
        <w:rPr>
          <w:rFonts w:hint="default" w:ascii="Times New Roman" w:hAnsi="Times New Roman" w:eastAsia="仿宋" w:cs="Times New Roman"/>
          <w:color w:val="auto"/>
          <w:szCs w:val="32"/>
          <w:highlight w:val="none"/>
        </w:rPr>
        <w:t xml:space="preserve">采购需求</w:t>
      </w:r>
      <w:bookmarkEnd w:id="147"/>
      <w:r/>
      <w:bookmarkEnd w:id="150"/>
      <w:r/>
      <w:bookmarkEnd w:id="151"/>
      <w:r/>
      <w:r/>
    </w:p>
    <w:p>
      <w:pPr>
        <w:numPr>
          <w:ilvl w:val="0"/>
          <w:numId w:val="8"/>
        </w:numPr>
        <w:ind w:firstLine="482"/>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项目名称</w:t>
      </w:r>
      <w:r/>
    </w:p>
    <w:p>
      <w:pPr>
        <w:numPr>
          <w:ilvl w:val="0"/>
          <w:numId w:val="0"/>
        </w:numPr>
        <w:ind w:firstLine="508"/>
        <w:keepLines w:val="0"/>
        <w:keepNext w:val="0"/>
        <w:pageBreakBefore w:val="0"/>
        <w:spacing w:line="360" w:lineRule="auto"/>
        <w:widowControl w:val="off"/>
        <w:rPr>
          <w:rFonts w:hint="eastAsia" w:eastAsia="仿宋" w:cs="Times New Roman"/>
          <w:color w:val="auto"/>
          <w:spacing w:val="7"/>
          <w:sz w:val="24"/>
          <w:szCs w:val="24"/>
          <w:highlight w:val="none"/>
          <w:lang w:eastAsia="zh-CN"/>
        </w:rPr>
      </w:pPr>
      <w:r>
        <w:rPr>
          <w:rFonts w:hint="eastAsia" w:eastAsia="仿宋" w:cs="Times New Roman"/>
          <w:color w:val="auto"/>
          <w:spacing w:val="7"/>
          <w:sz w:val="24"/>
          <w:szCs w:val="24"/>
          <w:highlight w:val="none"/>
          <w:lang w:eastAsia="zh-CN"/>
        </w:rPr>
        <w:t xml:space="preserve">板桥街道四座泵站备用电源项目</w:t>
      </w:r>
      <w:r/>
    </w:p>
    <w:p>
      <w:pPr>
        <w:numPr>
          <w:ilvl w:val="0"/>
          <w:numId w:val="8"/>
        </w:numPr>
        <w:ind w:firstLine="482"/>
        <w:spacing w:line="360" w:lineRule="auto"/>
        <w:rPr>
          <w:rFonts w:hint="default" w:ascii="Times New Roman" w:hAnsi="Times New Roman" w:eastAsia="仿宋" w:cs="Times New Roman"/>
          <w:b/>
          <w:bCs/>
          <w:color w:val="auto"/>
          <w:sz w:val="24"/>
          <w:highlight w:val="none"/>
          <w:lang w:val="en-US" w:eastAsia="zh-CN"/>
        </w:rPr>
      </w:pPr>
      <w:r>
        <w:rPr>
          <w:rFonts w:hint="eastAsia" w:ascii="Times New Roman" w:hAnsi="Times New Roman" w:eastAsia="仿宋" w:cs="Times New Roman"/>
          <w:b/>
          <w:bCs/>
          <w:color w:val="auto"/>
          <w:sz w:val="24"/>
          <w:highlight w:val="none"/>
          <w:lang w:val="en-US" w:eastAsia="zh-CN"/>
        </w:rPr>
        <w:t xml:space="preserve">发电机组总体要求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额定功率</w:t>
      </w:r>
      <w:r>
        <w:rPr>
          <w:rFonts w:hint="default" w:ascii="Times New Roman" w:hAnsi="Times New Roman" w:eastAsia="仿宋" w:cs="Times New Roman"/>
          <w:color w:val="auto"/>
          <w:sz w:val="24"/>
          <w:highlight w:val="none"/>
          <w:lang w:val="en-US" w:eastAsia="zh-CN"/>
        </w:rPr>
        <w:t xml:space="preserve">50KW</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200kw</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300kw</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500kw</w:t>
      </w:r>
      <w:r>
        <w:rPr>
          <w:rFonts w:hint="default" w:ascii="Times New Roman" w:hAnsi="Times New Roman" w:eastAsia="仿宋" w:cs="Times New Roman"/>
          <w:color w:val="auto"/>
          <w:sz w:val="24"/>
          <w:highlight w:val="none"/>
        </w:rPr>
        <w:t xml:space="preserve">全自动</w:t>
      </w:r>
      <w:r>
        <w:rPr>
          <w:rFonts w:hint="default" w:ascii="Times New Roman" w:hAnsi="Times New Roman" w:eastAsia="仿宋" w:cs="Times New Roman"/>
          <w:color w:val="auto"/>
          <w:sz w:val="24"/>
          <w:highlight w:val="none"/>
          <w:lang w:val="en-US" w:eastAsia="zh-CN"/>
        </w:rPr>
        <w:t xml:space="preserve">静音箱式</w:t>
      </w:r>
      <w:r>
        <w:rPr>
          <w:rFonts w:hint="default" w:ascii="Times New Roman" w:hAnsi="Times New Roman" w:eastAsia="仿宋" w:cs="Times New Roman"/>
          <w:color w:val="auto"/>
          <w:sz w:val="24"/>
          <w:highlight w:val="none"/>
        </w:rPr>
        <w:t xml:space="preserve">柴油发电机组</w:t>
      </w:r>
      <w:r>
        <w:rPr>
          <w:rFonts w:hint="eastAsia" w:ascii="Times New Roman" w:hAnsi="Times New Roman" w:eastAsia="仿宋" w:cs="Times New Roman"/>
          <w:color w:val="auto"/>
          <w:sz w:val="24"/>
          <w:highlight w:val="none"/>
          <w:lang w:val="en-US" w:eastAsia="zh-CN"/>
        </w:rPr>
        <w:t xml:space="preserve">共</w:t>
      </w: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套，以及配套、附属设备，运抵采购</w:t>
      </w:r>
      <w:r>
        <w:rPr>
          <w:rFonts w:hint="eastAsia" w:ascii="Times New Roman" w:hAnsi="Times New Roman" w:eastAsia="仿宋" w:cs="Times New Roman"/>
          <w:color w:val="auto"/>
          <w:sz w:val="24"/>
          <w:highlight w:val="none"/>
          <w:lang w:val="en-US" w:eastAsia="zh-CN"/>
        </w:rPr>
        <w:t xml:space="preserve">人</w:t>
      </w:r>
      <w:r>
        <w:rPr>
          <w:rFonts w:hint="default" w:ascii="Times New Roman" w:hAnsi="Times New Roman" w:eastAsia="仿宋" w:cs="Times New Roman"/>
          <w:color w:val="auto"/>
          <w:sz w:val="24"/>
          <w:highlight w:val="none"/>
        </w:rPr>
        <w:t xml:space="preserve">指定地点</w:t>
      </w:r>
      <w:r>
        <w:rPr>
          <w:rFonts w:hint="eastAsia" w:ascii="Times New Roman" w:hAnsi="Times New Roman"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val="en-US" w:eastAsia="zh-CN"/>
        </w:rPr>
        <w:t xml:space="preserve">安装</w:t>
      </w:r>
      <w:r>
        <w:rPr>
          <w:rFonts w:hint="default" w:ascii="Times New Roman" w:hAnsi="Times New Roman" w:eastAsia="仿宋" w:cs="Times New Roman"/>
          <w:color w:val="auto"/>
          <w:sz w:val="24"/>
          <w:highlight w:val="none"/>
        </w:rPr>
        <w:t xml:space="preserve">调试</w:t>
      </w:r>
      <w:r>
        <w:rPr>
          <w:rFonts w:hint="eastAsia" w:ascii="Times New Roman" w:hAnsi="Times New Roman" w:eastAsia="仿宋" w:cs="Times New Roman"/>
          <w:color w:val="auto"/>
          <w:sz w:val="24"/>
          <w:highlight w:val="none"/>
          <w:lang w:val="en-US" w:eastAsia="zh-CN"/>
        </w:rPr>
        <w:t xml:space="preserve">及</w:t>
      </w:r>
      <w:r>
        <w:rPr>
          <w:rFonts w:hint="default" w:ascii="Times New Roman" w:hAnsi="Times New Roman" w:eastAsia="仿宋" w:cs="Times New Roman"/>
          <w:color w:val="auto"/>
          <w:sz w:val="24"/>
          <w:highlight w:val="none"/>
          <w:lang w:val="en-US" w:eastAsia="zh-CN"/>
        </w:rPr>
        <w:t xml:space="preserve">培训</w:t>
      </w:r>
      <w:r>
        <w:rPr>
          <w:rFonts w:hint="eastAsia" w:ascii="Times New Roman" w:hAnsi="Times New Roman" w:eastAsia="仿宋" w:cs="Times New Roman"/>
          <w:color w:val="auto"/>
          <w:sz w:val="24"/>
          <w:highlight w:val="none"/>
          <w:lang w:val="en-US" w:eastAsia="zh-CN"/>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机器中除主机外,还应包括</w:t>
      </w:r>
      <w:r>
        <w:rPr>
          <w:rFonts w:hint="default" w:ascii="Times New Roman" w:hAnsi="Times New Roman" w:eastAsia="仿宋" w:cs="Times New Roman"/>
          <w:color w:val="auto"/>
          <w:sz w:val="24"/>
          <w:highlight w:val="none"/>
          <w:lang w:val="en-US" w:eastAsia="zh-CN"/>
        </w:rPr>
        <w:t xml:space="preserve">底座</w:t>
      </w:r>
      <w:r>
        <w:rPr>
          <w:rFonts w:hint="default" w:ascii="Times New Roman" w:hAnsi="Times New Roman" w:eastAsia="仿宋" w:cs="Times New Roman"/>
          <w:color w:val="auto"/>
          <w:sz w:val="24"/>
          <w:highlight w:val="none"/>
        </w:rPr>
        <w:t xml:space="preserve">油箱、启动蓄电瓶及连接线、减震垫、产品相关备品配件、合格证、使用手册等。</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以下情况机组保护自动停机并报警：发电机电压过高或过低、频率过高或过低、速度传感器无信号、充电故障、高水温、低油压、超速、短路电流及IDMT特性过流保护等。此项功能报价须含在总价中。</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控制器:</w:t>
      </w:r>
      <w:r>
        <w:rPr>
          <w:rFonts w:hint="default" w:ascii="Times New Roman" w:hAnsi="Times New Roman" w:eastAsia="仿宋" w:cs="Times New Roman"/>
          <w:color w:val="auto"/>
          <w:sz w:val="24"/>
          <w:highlight w:val="none"/>
          <w:lang w:val="en-US" w:eastAsia="zh-CN"/>
        </w:rPr>
        <w:t xml:space="preserve"> </w:t>
      </w:r>
      <w:r>
        <w:rPr>
          <w:rFonts w:hint="default" w:ascii="Times New Roman" w:hAnsi="Times New Roman" w:eastAsia="仿宋" w:cs="Times New Roman"/>
          <w:color w:val="auto"/>
          <w:sz w:val="24"/>
          <w:highlight w:val="none"/>
        </w:rPr>
        <w:t xml:space="preserve">自启动液晶控制器， 满足电气参数调整和控制要求。</w:t>
      </w:r>
      <w:r>
        <w:rPr>
          <w:rFonts w:hint="default" w:ascii="Times New Roman" w:hAnsi="Times New Roman" w:eastAsia="仿宋" w:cs="Times New Roman"/>
          <w:color w:val="auto"/>
          <w:sz w:val="24"/>
          <w:highlight w:val="none"/>
          <w:lang w:val="en-US" w:eastAsia="zh-CN"/>
        </w:rPr>
        <w:t xml:space="preserve">     </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5、自动转换开换：125A</w:t>
      </w:r>
      <w:r>
        <w:rPr>
          <w:rFonts w:hint="default" w:ascii="Times New Roman" w:hAnsi="Times New Roman" w:eastAsia="仿宋" w:cs="Times New Roman"/>
          <w:b w:val="0"/>
          <w:bCs w:val="0"/>
          <w:color w:val="auto"/>
          <w:sz w:val="24"/>
          <w:highlight w:val="none"/>
        </w:rPr>
        <w:t xml:space="preserve">、</w:t>
      </w:r>
      <w:r>
        <w:rPr>
          <w:rFonts w:hint="default" w:ascii="Times New Roman" w:hAnsi="Times New Roman" w:eastAsia="仿宋" w:cs="Times New Roman"/>
          <w:b w:val="0"/>
          <w:bCs w:val="0"/>
          <w:color w:val="auto"/>
          <w:sz w:val="24"/>
          <w:highlight w:val="none"/>
          <w:lang w:val="en-US" w:eastAsia="zh-CN"/>
        </w:rPr>
        <w:t xml:space="preserve">400A</w:t>
      </w:r>
      <w:r>
        <w:rPr>
          <w:rFonts w:hint="default" w:ascii="Times New Roman" w:hAnsi="Times New Roman" w:eastAsia="仿宋" w:cs="Times New Roman"/>
          <w:b w:val="0"/>
          <w:bCs w:val="0"/>
          <w:color w:val="auto"/>
          <w:sz w:val="24"/>
          <w:highlight w:val="none"/>
        </w:rPr>
        <w:t xml:space="preserve">、</w:t>
      </w:r>
      <w:r>
        <w:rPr>
          <w:rFonts w:hint="default" w:ascii="Times New Roman" w:hAnsi="Times New Roman" w:eastAsia="仿宋" w:cs="Times New Roman"/>
          <w:b w:val="0"/>
          <w:bCs w:val="0"/>
          <w:color w:val="auto"/>
          <w:sz w:val="24"/>
          <w:highlight w:val="none"/>
          <w:lang w:val="en-US" w:eastAsia="zh-CN"/>
        </w:rPr>
        <w:t xml:space="preserve">630A</w:t>
      </w:r>
      <w:r>
        <w:rPr>
          <w:rFonts w:hint="default" w:ascii="Times New Roman" w:hAnsi="Times New Roman" w:eastAsia="仿宋" w:cs="Times New Roman"/>
          <w:b w:val="0"/>
          <w:bCs w:val="0"/>
          <w:color w:val="auto"/>
          <w:sz w:val="24"/>
          <w:highlight w:val="none"/>
        </w:rPr>
        <w:t xml:space="preserve">、</w:t>
      </w:r>
      <w:r>
        <w:rPr>
          <w:rFonts w:hint="default" w:ascii="Times New Roman" w:hAnsi="Times New Roman" w:eastAsia="仿宋" w:cs="Times New Roman"/>
          <w:b w:val="0"/>
          <w:bCs w:val="0"/>
          <w:color w:val="auto"/>
          <w:sz w:val="24"/>
          <w:highlight w:val="none"/>
          <w:lang w:val="en-US" w:eastAsia="zh-CN"/>
        </w:rPr>
        <w:t xml:space="preserve">1250A</w:t>
      </w:r>
      <w:r>
        <w:rPr>
          <w:rFonts w:hint="default" w:ascii="Times New Roman" w:hAnsi="Times New Roman" w:eastAsia="仿宋" w:cs="Times New Roman"/>
          <w:color w:val="auto"/>
          <w:sz w:val="24"/>
          <w:highlight w:val="none"/>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启动方式：手动/自动/停机；</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控制屏：LED宽屏液晶控制屏；</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功能/参数：自动切换功能，当市电电网断电时，发电机组控制系统会在3~15秒（可调）自动检测失电信号并自己启动（共有三次连续启动，</w:t>
      </w:r>
      <w:r>
        <w:rPr>
          <w:rFonts w:hint="eastAsia" w:ascii="Times New Roman" w:hAnsi="Times New Roman" w:eastAsia="仿宋" w:cs="Times New Roman"/>
          <w:color w:val="auto"/>
          <w:sz w:val="24"/>
          <w:highlight w:val="none"/>
          <w:lang w:val="en-US" w:eastAsia="zh-CN"/>
        </w:rPr>
        <w:t xml:space="preserve">若</w:t>
      </w:r>
      <w:r>
        <w:rPr>
          <w:rFonts w:hint="default" w:ascii="Times New Roman" w:hAnsi="Times New Roman" w:eastAsia="仿宋" w:cs="Times New Roman"/>
          <w:color w:val="auto"/>
          <w:sz w:val="24"/>
          <w:highlight w:val="none"/>
        </w:rPr>
        <w:t xml:space="preserve">三次不成功，则报警），启动后自动检测电压、频率正常，当市电电网恢复时，发电机组控制系统会自动检测有电信号，机组在空转10~270秒（可调）后自动停机。</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燃油箱：要求满足机组8小时</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10</w:t>
      </w:r>
      <w:r>
        <w:rPr>
          <w:rFonts w:hint="eastAsia"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CN"/>
        </w:rPr>
        <w:t xml:space="preserve">室外型箱体</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降噪</w:t>
      </w:r>
      <w:bookmarkStart w:id="232" w:name="_GoBack"/>
      <w:r/>
      <w:bookmarkEnd w:id="232"/>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t xml:space="preserve">11、</w:t>
      </w:r>
      <w:r>
        <w:rPr>
          <w:rFonts w:hint="default" w:ascii="Times New Roman" w:hAnsi="Times New Roman" w:eastAsia="仿宋" w:cs="Times New Roman"/>
          <w:color w:val="auto"/>
          <w:sz w:val="24"/>
          <w:highlight w:val="none"/>
        </w:rPr>
        <w:t xml:space="preserve">达到国三排放标准</w:t>
      </w:r>
      <w:r>
        <w:rPr>
          <w:rFonts w:hint="eastAsia" w:ascii="Times New Roman" w:hAnsi="Times New Roman" w:eastAsia="仿宋" w:cs="Times New Roman"/>
          <w:color w:val="auto"/>
          <w:sz w:val="24"/>
          <w:highlight w:val="none"/>
          <w:lang w:eastAsia="zh-CN"/>
        </w:rPr>
        <w:t xml:space="preserve">。</w:t>
      </w:r>
      <w:r/>
    </w:p>
    <w:p>
      <w:pPr>
        <w:numPr>
          <w:ilvl w:val="0"/>
          <w:numId w:val="8"/>
        </w:numPr>
        <w:ind w:firstLine="482"/>
        <w:spacing w:line="360" w:lineRule="auto"/>
        <w:rPr>
          <w:rFonts w:hint="default" w:ascii="Times New Roman" w:hAnsi="Times New Roman" w:eastAsia="仿宋" w:cs="Times New Roman"/>
          <w:b/>
          <w:bCs/>
          <w:color w:val="auto"/>
          <w:sz w:val="24"/>
          <w:highlight w:val="none"/>
        </w:rPr>
      </w:pPr>
      <w:r>
        <w:rPr>
          <w:rFonts w:hint="eastAsia" w:ascii="Times New Roman" w:hAnsi="Times New Roman" w:eastAsia="仿宋" w:cs="Times New Roman"/>
          <w:b/>
          <w:bCs/>
          <w:color w:val="auto"/>
          <w:sz w:val="24"/>
          <w:highlight w:val="none"/>
          <w:lang w:val="en-US" w:eastAsia="zh-CN"/>
        </w:rPr>
        <w:t xml:space="preserve">采购清单</w:t>
      </w:r>
      <w:r/>
    </w:p>
    <w:tbl>
      <w:tblPr>
        <w:tblStyle w:val="827"/>
        <w:tblW w:w="8790" w:type="dxa"/>
        <w:tblInd w:w="-26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0"/>
        <w:gridCol w:w="2265"/>
        <w:gridCol w:w="3225"/>
        <w:gridCol w:w="750"/>
        <w:gridCol w:w="660"/>
        <w:gridCol w:w="1140"/>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泵站名称</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rPr>
              <w:suppressLineNumbers w:val="0"/>
            </w:pPr>
            <w:r>
              <w:rPr>
                <w:rFonts w:hint="eastAsia" w:ascii="Times New Roman" w:hAnsi="Times New Roman" w:eastAsia="仿宋" w:cs="Times New Roman"/>
                <w:i w:val="0"/>
                <w:iCs w:val="0"/>
                <w:color w:val="auto"/>
                <w:sz w:val="21"/>
                <w:szCs w:val="21"/>
                <w:highlight w:val="none"/>
                <w:u w:val="none"/>
                <w:lang w:val="en-US" w:eastAsia="zh-CN"/>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备注</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永安花苑泵站</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lang w:val="en-US" w:eastAsia="zh-CN"/>
              </w:rPr>
            </w:pPr>
            <w:r>
              <w:rPr>
                <w:rFonts w:hint="default" w:ascii="Times New Roman" w:hAnsi="Times New Roman" w:eastAsia="仿宋" w:cs="Times New Roman"/>
                <w:i w:val="0"/>
                <w:iCs w:val="0"/>
                <w:color w:val="auto"/>
                <w:sz w:val="21"/>
                <w:szCs w:val="21"/>
                <w:highlight w:val="none"/>
                <w:u w:val="none"/>
                <w:lang w:val="en-US" w:eastAsia="zh-CN" w:bidi="ar"/>
              </w:rPr>
              <w:t xml:space="preserve">200KW</w:t>
            </w:r>
            <w:r>
              <w:rPr>
                <w:rFonts w:hint="eastAsia" w:ascii="Times New Roman" w:hAnsi="Times New Roman" w:eastAsia="仿宋" w:cs="Times New Roman"/>
                <w:i w:val="0"/>
                <w:iCs w:val="0"/>
                <w:color w:val="auto"/>
                <w:sz w:val="21"/>
                <w:szCs w:val="21"/>
                <w:highlight w:val="none"/>
                <w:u w:val="none"/>
                <w:lang w:val="en-US" w:eastAsia="zh-CN" w:bidi="ar"/>
              </w:rPr>
              <w:t xml:space="preserve">，户外静音箱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Times New Roman" w:hAnsi="Times New Roman" w:eastAsia="仿宋" w:cs="Times New Roman"/>
                <w:i w:val="0"/>
                <w:iCs w:val="0"/>
                <w:color w:val="auto"/>
                <w:sz w:val="21"/>
                <w:szCs w:val="21"/>
                <w:highlight w:val="none"/>
                <w:u w:val="none"/>
                <w:lang w:val="en-US" w:eastAsia="zh-CN"/>
              </w:rPr>
              <w:suppressLineNumbers w:val="0"/>
            </w:pPr>
            <w:r>
              <w:rPr>
                <w:rFonts w:hint="eastAsia" w:eastAsia="仿宋" w:cs="Times New Roman"/>
                <w:i w:val="0"/>
                <w:iCs w:val="0"/>
                <w:color w:val="auto"/>
                <w:sz w:val="21"/>
                <w:szCs w:val="21"/>
                <w:highlight w:val="none"/>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双电源切换柜</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与市网电源自动切换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YJV3*150+2*70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电缆沟</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300*800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含开挖、回填、盖板</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钢筋混凝土地面</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200mmC30混凝土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含双层双向Φ12钢筋</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枕木</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100*100*2500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配电装置系统调试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双电源自动切换调试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备用柴油</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满负荷运行8小时</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安全措施</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numPr>
                <w:ilvl w:val="0"/>
                <w:numId w:val="9"/>
              </w:numPr>
              <w:rPr>
                <w:rFonts w:hint="default" w:ascii="Times New Roman" w:hAnsi="Times New Roman" w:eastAsia="仿宋" w:cs="Times New Roman"/>
                <w:i w:val="0"/>
                <w:iCs w:val="0"/>
                <w:color w:val="auto"/>
                <w:sz w:val="21"/>
                <w:szCs w:val="21"/>
                <w:highlight w:val="none"/>
                <w:u w:val="none"/>
                <w:lang w:val="en-US" w:eastAsia="zh-CN" w:bidi="ar"/>
              </w:rPr>
            </w:pPr>
            <w:r>
              <w:rPr>
                <w:rFonts w:hint="default" w:ascii="Times New Roman" w:hAnsi="Times New Roman" w:eastAsia="仿宋" w:cs="Times New Roman"/>
                <w:i w:val="0"/>
                <w:iCs w:val="0"/>
                <w:color w:val="auto"/>
                <w:sz w:val="21"/>
                <w:szCs w:val="21"/>
                <w:highlight w:val="none"/>
                <w:u w:val="none"/>
                <w:lang w:val="en-US" w:eastAsia="zh-CN" w:bidi="ar"/>
              </w:rPr>
              <w:t xml:space="preserve">铁制围栏（</w:t>
            </w:r>
            <w:r>
              <w:rPr>
                <w:rFonts w:hint="default" w:ascii="Times New Roman" w:hAnsi="Times New Roman" w:eastAsia="仿宋" w:cs="Times New Roman"/>
                <w:i w:val="0"/>
                <w:iCs w:val="0"/>
                <w:color w:val="auto"/>
                <w:sz w:val="21"/>
                <w:szCs w:val="21"/>
                <w:highlight w:val="none"/>
                <w:u w:val="none"/>
                <w:lang w:val="en-US" w:eastAsia="zh-CN"/>
              </w:rPr>
              <w:t xml:space="preserve">结合现场场地）</w:t>
            </w:r>
            <w:r/>
          </w:p>
          <w:p>
            <w:pPr>
              <w:numPr>
                <w:ilvl w:val="0"/>
                <w:numId w:val="9"/>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雨棚：不锈钢框架，10mm阳光板</w:t>
            </w:r>
            <w:r/>
          </w:p>
          <w:p>
            <w:pPr>
              <w:numPr>
                <w:ilvl w:val="0"/>
                <w:numId w:val="9"/>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8公斤干粉手提灭火器2个</w:t>
            </w:r>
            <w:r/>
          </w:p>
          <w:p>
            <w:pPr>
              <w:numPr>
                <w:ilvl w:val="0"/>
                <w:numId w:val="9"/>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砂箱（800*600*500）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lang w:val="en-US" w:eastAsia="zh-CN"/>
              </w:rPr>
              <w:suppressLineNumbers w:val="0"/>
            </w:pPr>
            <w:r>
              <w:rPr>
                <w:rFonts w:hint="default" w:ascii="Times New Roman" w:hAnsi="Times New Roman" w:eastAsia="仿宋" w:cs="Times New Roman"/>
                <w:i w:val="0"/>
                <w:iCs w:val="0"/>
                <w:color w:val="auto"/>
                <w:sz w:val="21"/>
                <w:szCs w:val="21"/>
                <w:highlight w:val="none"/>
                <w:u w:val="none"/>
                <w:lang w:val="en-US" w:eastAsia="zh-CN"/>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发动机系统调试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含运输、施工机械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老板沟泵站</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ind w:left="480" w:hanging="420"/>
              <w:rPr>
                <w:rFonts w:hint="default" w:ascii="Times New Roman" w:hAnsi="Times New Roman" w:eastAsia="仿宋" w:cs="Times New Roman"/>
                <w:i w:val="0"/>
                <w:iCs w:val="0"/>
                <w:color w:val="auto"/>
                <w:sz w:val="21"/>
                <w:szCs w:val="21"/>
                <w:highlight w:val="none"/>
                <w:u w:val="none"/>
                <w:lang w:val="en-US" w:eastAsia="zh-CN"/>
              </w:rPr>
            </w:pPr>
            <w:r>
              <w:rPr>
                <w:rFonts w:hint="default" w:ascii="Times New Roman" w:hAnsi="Times New Roman" w:eastAsia="仿宋" w:cs="Times New Roman"/>
                <w:i w:val="0"/>
                <w:iCs w:val="0"/>
                <w:color w:val="auto"/>
                <w:sz w:val="21"/>
                <w:szCs w:val="21"/>
                <w:highlight w:val="none"/>
                <w:u w:val="none"/>
                <w:lang w:val="en-US" w:eastAsia="zh-CN" w:bidi="ar"/>
              </w:rPr>
              <w:t xml:space="preserve">300KW</w:t>
            </w:r>
            <w:r>
              <w:rPr>
                <w:rFonts w:hint="eastAsia" w:ascii="Times New Roman" w:hAnsi="Times New Roman" w:eastAsia="仿宋" w:cs="Times New Roman"/>
                <w:i w:val="0"/>
                <w:iCs w:val="0"/>
                <w:color w:val="auto"/>
                <w:sz w:val="21"/>
                <w:szCs w:val="21"/>
                <w:highlight w:val="none"/>
                <w:u w:val="none"/>
                <w:lang w:val="en-US" w:eastAsia="zh-CN" w:bidi="ar"/>
              </w:rPr>
              <w:t xml:space="preserve">，户外静音箱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Times New Roman" w:hAnsi="Times New Roman" w:eastAsia="仿宋" w:cs="Times New Roman"/>
                <w:i w:val="0"/>
                <w:iCs w:val="0"/>
                <w:color w:val="auto"/>
                <w:sz w:val="21"/>
                <w:szCs w:val="21"/>
                <w:highlight w:val="none"/>
                <w:u w:val="none"/>
                <w:lang w:val="en-US" w:eastAsia="zh-CN"/>
              </w:rPr>
              <w:suppressLineNumbers w:val="0"/>
            </w:pPr>
            <w:r>
              <w:rPr>
                <w:rFonts w:hint="eastAsia" w:eastAsia="仿宋" w:cs="Times New Roman"/>
                <w:i w:val="0"/>
                <w:iCs w:val="0"/>
                <w:color w:val="auto"/>
                <w:sz w:val="21"/>
                <w:szCs w:val="21"/>
                <w:highlight w:val="none"/>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双电源切换柜</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与市网电源自动切换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YJV3*240+2*120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电缆沟</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300*800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含开挖、回填、盖板</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钢筋混凝土地面</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200mmC30混凝土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含双层双向Φ12钢筋</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枕木</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100*100*2500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配电装置系统调试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双电源自动切换调试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备用柴油</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满负荷运行8小时</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安全措施</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numPr>
                <w:ilvl w:val="0"/>
                <w:numId w:val="10"/>
              </w:numPr>
              <w:rPr>
                <w:rFonts w:hint="default" w:ascii="Times New Roman" w:hAnsi="Times New Roman" w:eastAsia="仿宋" w:cs="Times New Roman"/>
                <w:i w:val="0"/>
                <w:iCs w:val="0"/>
                <w:color w:val="auto"/>
                <w:sz w:val="21"/>
                <w:szCs w:val="21"/>
                <w:highlight w:val="none"/>
                <w:u w:val="none"/>
                <w:lang w:val="en-US" w:eastAsia="zh-CN" w:bidi="ar"/>
              </w:rPr>
            </w:pPr>
            <w:r>
              <w:rPr>
                <w:rFonts w:hint="default" w:ascii="Times New Roman" w:hAnsi="Times New Roman" w:eastAsia="仿宋" w:cs="Times New Roman"/>
                <w:i w:val="0"/>
                <w:iCs w:val="0"/>
                <w:color w:val="auto"/>
                <w:sz w:val="21"/>
                <w:szCs w:val="21"/>
                <w:highlight w:val="none"/>
                <w:u w:val="none"/>
                <w:lang w:val="en-US" w:eastAsia="zh-CN" w:bidi="ar"/>
              </w:rPr>
              <w:t xml:space="preserve">铁制围栏（</w:t>
            </w:r>
            <w:r>
              <w:rPr>
                <w:rFonts w:hint="default" w:ascii="Times New Roman" w:hAnsi="Times New Roman" w:eastAsia="仿宋" w:cs="Times New Roman"/>
                <w:i w:val="0"/>
                <w:iCs w:val="0"/>
                <w:color w:val="auto"/>
                <w:sz w:val="21"/>
                <w:szCs w:val="21"/>
                <w:highlight w:val="none"/>
                <w:u w:val="none"/>
                <w:lang w:val="en-US" w:eastAsia="zh-CN"/>
              </w:rPr>
              <w:t xml:space="preserve">结合现场场地）</w:t>
            </w:r>
            <w:r/>
          </w:p>
          <w:p>
            <w:pPr>
              <w:numPr>
                <w:ilvl w:val="0"/>
                <w:numId w:val="10"/>
              </w:num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雨棚：不锈钢框架，10mm阳光板</w:t>
            </w:r>
            <w:r/>
          </w:p>
          <w:p>
            <w:pPr>
              <w:numPr>
                <w:ilvl w:val="0"/>
                <w:numId w:val="10"/>
              </w:num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8公斤干粉手提灭火器2个</w:t>
            </w:r>
            <w:r/>
          </w:p>
          <w:p>
            <w:pPr>
              <w:numPr>
                <w:ilvl w:val="0"/>
                <w:numId w:val="10"/>
              </w:num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砂箱（800*600*500）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发动机系统调试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含运输、施工机械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新板沟泵站</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ind w:left="480" w:hanging="420"/>
              <w:rPr>
                <w:rFonts w:hint="default" w:ascii="Times New Roman" w:hAnsi="Times New Roman" w:eastAsia="仿宋" w:cs="Times New Roman"/>
                <w:i w:val="0"/>
                <w:iCs w:val="0"/>
                <w:color w:val="auto"/>
                <w:sz w:val="21"/>
                <w:szCs w:val="21"/>
                <w:highlight w:val="none"/>
                <w:u w:val="none"/>
                <w:lang w:val="en-US" w:eastAsia="zh-CN"/>
              </w:rPr>
            </w:pPr>
            <w:r>
              <w:rPr>
                <w:rFonts w:hint="default" w:ascii="Times New Roman" w:hAnsi="Times New Roman" w:eastAsia="仿宋" w:cs="Times New Roman"/>
                <w:i w:val="0"/>
                <w:iCs w:val="0"/>
                <w:color w:val="auto"/>
                <w:sz w:val="21"/>
                <w:szCs w:val="21"/>
                <w:highlight w:val="none"/>
                <w:u w:val="none"/>
                <w:lang w:val="en-US" w:eastAsia="zh-CN" w:bidi="ar"/>
              </w:rPr>
              <w:t xml:space="preserve">500KW</w:t>
            </w:r>
            <w:r>
              <w:rPr>
                <w:rFonts w:hint="eastAsia" w:ascii="Times New Roman" w:hAnsi="Times New Roman" w:eastAsia="仿宋" w:cs="Times New Roman"/>
                <w:i w:val="0"/>
                <w:iCs w:val="0"/>
                <w:color w:val="auto"/>
                <w:sz w:val="21"/>
                <w:szCs w:val="21"/>
                <w:highlight w:val="none"/>
                <w:u w:val="none"/>
                <w:lang w:val="en-US" w:eastAsia="zh-CN" w:bidi="ar"/>
              </w:rPr>
              <w:t xml:space="preserve">，</w:t>
            </w:r>
            <w:r>
              <w:rPr>
                <w:rFonts w:hint="default" w:ascii="Times New Roman" w:hAnsi="Times New Roman" w:eastAsia="仿宋" w:cs="Times New Roman"/>
                <w:i w:val="0"/>
                <w:iCs w:val="0"/>
                <w:color w:val="auto"/>
                <w:sz w:val="21"/>
                <w:szCs w:val="21"/>
                <w:highlight w:val="none"/>
                <w:u w:val="none"/>
                <w:lang w:val="en-US" w:eastAsia="zh-CN"/>
              </w:rPr>
              <w:t xml:space="preserve">户外静音箱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Times New Roman" w:hAnsi="Times New Roman" w:eastAsia="仿宋" w:cs="Times New Roman"/>
                <w:i w:val="0"/>
                <w:iCs w:val="0"/>
                <w:color w:val="auto"/>
                <w:sz w:val="21"/>
                <w:szCs w:val="21"/>
                <w:highlight w:val="none"/>
                <w:u w:val="none"/>
                <w:lang w:val="en-US" w:eastAsia="zh-CN"/>
              </w:rPr>
              <w:suppressLineNumbers w:val="0"/>
            </w:pPr>
            <w:r>
              <w:rPr>
                <w:rFonts w:hint="eastAsia" w:eastAsia="仿宋" w:cs="Times New Roman"/>
                <w:i w:val="0"/>
                <w:iCs w:val="0"/>
                <w:color w:val="auto"/>
                <w:sz w:val="21"/>
                <w:szCs w:val="21"/>
                <w:highlight w:val="none"/>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双电源切换柜</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与市网电源自动切换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YJV 3*300+2*150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电缆沟</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300*800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含开挖、回填、盖板</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钢筋混凝土地面</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200mmC30混凝土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含双层双向Φ12钢筋</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枕木</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100*100*2500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配电装置系统调试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双电源自动切换调试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备用柴油</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满负荷运行8小时</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安全措施</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numPr>
                <w:ilvl w:val="0"/>
                <w:numId w:val="11"/>
              </w:numPr>
              <w:rPr>
                <w:rFonts w:hint="default" w:ascii="Times New Roman" w:hAnsi="Times New Roman" w:eastAsia="仿宋" w:cs="Times New Roman"/>
                <w:i w:val="0"/>
                <w:iCs w:val="0"/>
                <w:color w:val="auto"/>
                <w:sz w:val="21"/>
                <w:szCs w:val="21"/>
                <w:highlight w:val="none"/>
                <w:u w:val="none"/>
                <w:lang w:val="en-US" w:eastAsia="zh-CN" w:bidi="ar"/>
              </w:rPr>
            </w:pPr>
            <w:r>
              <w:rPr>
                <w:rFonts w:hint="default" w:ascii="Times New Roman" w:hAnsi="Times New Roman" w:eastAsia="仿宋" w:cs="Times New Roman"/>
                <w:i w:val="0"/>
                <w:iCs w:val="0"/>
                <w:color w:val="auto"/>
                <w:sz w:val="21"/>
                <w:szCs w:val="21"/>
                <w:highlight w:val="none"/>
                <w:u w:val="none"/>
                <w:lang w:val="en-US" w:eastAsia="zh-CN" w:bidi="ar"/>
              </w:rPr>
              <w:t xml:space="preserve">铁制围栏（</w:t>
            </w:r>
            <w:r>
              <w:rPr>
                <w:rFonts w:hint="default" w:ascii="Times New Roman" w:hAnsi="Times New Roman" w:eastAsia="仿宋" w:cs="Times New Roman"/>
                <w:i w:val="0"/>
                <w:iCs w:val="0"/>
                <w:color w:val="auto"/>
                <w:sz w:val="21"/>
                <w:szCs w:val="21"/>
                <w:highlight w:val="none"/>
                <w:u w:val="none"/>
                <w:lang w:val="en-US" w:eastAsia="zh-CN"/>
              </w:rPr>
              <w:t xml:space="preserve">结合现场场地）</w:t>
            </w:r>
            <w:r/>
          </w:p>
          <w:p>
            <w:pPr>
              <w:numPr>
                <w:ilvl w:val="0"/>
                <w:numId w:val="11"/>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雨棚：不锈钢框架，10mm阳光板</w:t>
            </w:r>
            <w:r/>
          </w:p>
          <w:p>
            <w:pPr>
              <w:numPr>
                <w:ilvl w:val="0"/>
                <w:numId w:val="11"/>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8公斤干粉手提灭火器2个</w:t>
            </w:r>
            <w:r/>
          </w:p>
          <w:p>
            <w:pPr>
              <w:numPr>
                <w:ilvl w:val="0"/>
                <w:numId w:val="11"/>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砂箱（800*600*500）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发动机系统调试用</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含运输、施工机械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eastAsia" w:ascii="仿宋" w:hAnsi="仿宋" w:eastAsia="仿宋"/>
                <w:color w:val="auto"/>
                <w:sz w:val="24"/>
                <w:highlight w:val="none"/>
                <w:lang w:val="en-US" w:eastAsia="zh-CN"/>
              </w:rPr>
              <w:t xml:space="preserve">小庄隧道泵站</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ind w:left="480" w:hanging="420"/>
              <w:rPr>
                <w:rFonts w:hint="default" w:ascii="Times New Roman" w:hAnsi="Times New Roman" w:eastAsia="仿宋" w:cs="Times New Roman"/>
                <w:i w:val="0"/>
                <w:iCs w:val="0"/>
                <w:color w:val="auto"/>
                <w:sz w:val="21"/>
                <w:szCs w:val="21"/>
                <w:highlight w:val="none"/>
                <w:u w:val="none"/>
                <w:lang w:val="en-US" w:eastAsia="zh-CN"/>
              </w:rPr>
            </w:pPr>
            <w:r>
              <w:rPr>
                <w:rFonts w:hint="default" w:ascii="Times New Roman" w:hAnsi="Times New Roman" w:eastAsia="仿宋" w:cs="Times New Roman"/>
                <w:i w:val="0"/>
                <w:iCs w:val="0"/>
                <w:color w:val="auto"/>
                <w:sz w:val="21"/>
                <w:szCs w:val="21"/>
                <w:highlight w:val="none"/>
                <w:u w:val="none"/>
                <w:lang w:val="en-US" w:eastAsia="zh-CN" w:bidi="ar"/>
              </w:rPr>
              <w:t xml:space="preserve">50KW</w:t>
            </w:r>
            <w:r>
              <w:rPr>
                <w:rFonts w:hint="eastAsia" w:ascii="Times New Roman" w:hAnsi="Times New Roman" w:eastAsia="仿宋" w:cs="Times New Roman"/>
                <w:i w:val="0"/>
                <w:iCs w:val="0"/>
                <w:color w:val="auto"/>
                <w:sz w:val="21"/>
                <w:szCs w:val="21"/>
                <w:highlight w:val="none"/>
                <w:u w:val="none"/>
                <w:lang w:val="en-US" w:eastAsia="zh-CN" w:bidi="ar"/>
              </w:rPr>
              <w:t xml:space="preserve">，户外静音箱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Times New Roman" w:hAnsi="Times New Roman" w:eastAsia="仿宋" w:cs="Times New Roman"/>
                <w:i w:val="0"/>
                <w:iCs w:val="0"/>
                <w:color w:val="auto"/>
                <w:sz w:val="21"/>
                <w:szCs w:val="21"/>
                <w:highlight w:val="none"/>
                <w:u w:val="none"/>
                <w:lang w:val="en-US" w:eastAsia="zh-CN"/>
              </w:rPr>
              <w:suppressLineNumbers w:val="0"/>
            </w:pPr>
            <w:r>
              <w:rPr>
                <w:rFonts w:hint="eastAsia" w:eastAsia="仿宋" w:cs="Times New Roman"/>
                <w:i w:val="0"/>
                <w:iCs w:val="0"/>
                <w:color w:val="auto"/>
                <w:sz w:val="21"/>
                <w:szCs w:val="21"/>
                <w:highlight w:val="none"/>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双电源切换柜</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与市网电源自动切换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YJV 4*35+1*16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电缆沟</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300*800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含开挖、回填、盖板</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钢筋混凝土地面</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200mmC30混凝土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含双层双向Φ12钢筋</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枕木</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100*100*2500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送配电装置系统调试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双电源自动切换调试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备用柴油</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满负荷运行8小时</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安全措施</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numPr>
                <w:ilvl w:val="0"/>
                <w:numId w:val="12"/>
              </w:numPr>
              <w:rPr>
                <w:rFonts w:hint="default" w:ascii="Times New Roman" w:hAnsi="Times New Roman" w:eastAsia="仿宋" w:cs="Times New Roman"/>
                <w:i w:val="0"/>
                <w:iCs w:val="0"/>
                <w:color w:val="auto"/>
                <w:sz w:val="21"/>
                <w:szCs w:val="21"/>
                <w:highlight w:val="none"/>
                <w:u w:val="none"/>
                <w:lang w:val="en-US" w:eastAsia="zh-CN" w:bidi="ar"/>
              </w:rPr>
            </w:pPr>
            <w:r>
              <w:rPr>
                <w:rFonts w:hint="default" w:ascii="Times New Roman" w:hAnsi="Times New Roman" w:eastAsia="仿宋" w:cs="Times New Roman"/>
                <w:i w:val="0"/>
                <w:iCs w:val="0"/>
                <w:color w:val="auto"/>
                <w:sz w:val="21"/>
                <w:szCs w:val="21"/>
                <w:highlight w:val="none"/>
                <w:u w:val="none"/>
                <w:lang w:val="en-US" w:eastAsia="zh-CN" w:bidi="ar"/>
              </w:rPr>
              <w:t xml:space="preserve">铁制围栏（</w:t>
            </w:r>
            <w:r>
              <w:rPr>
                <w:rFonts w:hint="default" w:ascii="Times New Roman" w:hAnsi="Times New Roman" w:eastAsia="仿宋" w:cs="Times New Roman"/>
                <w:i w:val="0"/>
                <w:iCs w:val="0"/>
                <w:color w:val="auto"/>
                <w:sz w:val="21"/>
                <w:szCs w:val="21"/>
                <w:highlight w:val="none"/>
                <w:u w:val="none"/>
                <w:lang w:val="en-US" w:eastAsia="zh-CN"/>
              </w:rPr>
              <w:t xml:space="preserve">结合现场场地）</w:t>
            </w:r>
            <w:r/>
          </w:p>
          <w:p>
            <w:pPr>
              <w:numPr>
                <w:ilvl w:val="0"/>
                <w:numId w:val="12"/>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雨棚：不锈钢框架，10mm阳光板</w:t>
            </w:r>
            <w:r/>
          </w:p>
          <w:p>
            <w:pPr>
              <w:numPr>
                <w:ilvl w:val="0"/>
                <w:numId w:val="12"/>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8公斤干粉手提灭火器2个</w:t>
            </w:r>
            <w:r/>
          </w:p>
          <w:p>
            <w:pPr>
              <w:numPr>
                <w:ilvl w:val="0"/>
                <w:numId w:val="12"/>
              </w:numPr>
              <w:ind w:left="0" w:firstLine="0"/>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lang w:val="en-US" w:eastAsia="zh-CN" w:bidi="ar"/>
              </w:rPr>
              <w:t xml:space="preserve">砂箱（800*600*500）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发动机系统调试</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含运输、施工机械</w:t>
            </w:r>
            <w:r/>
          </w:p>
        </w:tc>
      </w:tr>
    </w:tbl>
    <w:p>
      <w:pPr>
        <w:numPr>
          <w:ilvl w:val="0"/>
          <w:numId w:val="8"/>
        </w:numPr>
        <w:ind w:left="0" w:firstLine="510"/>
        <w:jc w:val="left"/>
        <w:keepLines w:val="0"/>
        <w:keepNext w:val="0"/>
        <w:pageBreakBefore w:val="0"/>
        <w:spacing w:line="360" w:lineRule="auto"/>
        <w:shd w:val="clear" w:color="auto" w:fill="ffffff"/>
        <w:widowControl/>
        <w:rPr>
          <w:rFonts w:hint="eastAsia" w:eastAsia="仿宋" w:cs="Times New Roman"/>
          <w:b/>
          <w:bCs/>
          <w:color w:val="auto"/>
          <w:spacing w:val="7"/>
          <w:sz w:val="24"/>
          <w:szCs w:val="24"/>
          <w:highlight w:val="none"/>
          <w:lang w:val="en-US" w:eastAsia="zh-CN" w:bidi="ar-SA"/>
        </w:rPr>
      </w:pPr>
      <w:r>
        <w:rPr>
          <w:rFonts w:hint="eastAsia" w:eastAsia="仿宋" w:cs="Times New Roman"/>
          <w:b/>
          <w:bCs/>
          <w:color w:val="auto"/>
          <w:spacing w:val="7"/>
          <w:sz w:val="24"/>
          <w:szCs w:val="24"/>
          <w:highlight w:val="none"/>
          <w:lang w:val="en-US" w:eastAsia="zh-CN" w:bidi="ar-SA"/>
        </w:rPr>
        <w:t xml:space="preserve">发电机组技术参数要求</w:t>
      </w:r>
      <w:r/>
    </w:p>
    <w:p>
      <w:pPr>
        <w:numPr>
          <w:ilvl w:val="0"/>
          <w:numId w:val="0"/>
        </w:numPr>
        <w:ind w:firstLine="241"/>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1.  50KW</w:t>
      </w:r>
      <w:r>
        <w:rPr>
          <w:rFonts w:hint="default" w:ascii="Times New Roman" w:hAnsi="Times New Roman" w:eastAsia="仿宋" w:cs="Times New Roman"/>
          <w:b/>
          <w:bCs/>
          <w:color w:val="auto"/>
          <w:sz w:val="24"/>
          <w:highlight w:val="none"/>
        </w:rPr>
        <w:t xml:space="preserve">主要技术参数</w:t>
      </w:r>
      <w:r/>
    </w:p>
    <w:p>
      <w:pPr>
        <w:numPr>
          <w:ilvl w:val="0"/>
          <w:numId w:val="0"/>
        </w:num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lang w:val="en-US" w:eastAsia="zh-CN"/>
        </w:rPr>
      </w:pPr>
      <w:r>
        <w:rPr>
          <w:rFonts w:hint="default" w:ascii="Times New Roman" w:hAnsi="Times New Roman" w:eastAsia="仿宋" w:cs="Times New Roman"/>
          <w:b/>
          <w:bCs/>
          <w:color w:val="auto"/>
          <w:sz w:val="24"/>
          <w:highlight w:val="none"/>
          <w:lang w:val="en-US" w:eastAsia="zh-CN"/>
        </w:rPr>
        <w:t xml:space="preserve">1.1柴油发电机组</w:t>
      </w:r>
      <w:r>
        <w:rPr>
          <w:rFonts w:hint="default" w:ascii="Times New Roman" w:hAnsi="Times New Roman" w:eastAsia="仿宋" w:cs="Times New Roman"/>
          <w:b/>
          <w:bCs/>
          <w:color w:val="auto"/>
          <w:sz w:val="24"/>
          <w:highlight w:val="none"/>
        </w:rPr>
        <w:t xml:space="preserve">主要技术参数：</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机组额定功率：</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0/</w:t>
      </w:r>
      <w:r>
        <w:rPr>
          <w:rFonts w:hint="default" w:ascii="Times New Roman" w:hAnsi="Times New Roman" w:eastAsia="仿宋" w:cs="Times New Roman"/>
          <w:color w:val="auto"/>
          <w:sz w:val="24"/>
          <w:highlight w:val="none"/>
          <w:lang w:val="en-US" w:eastAsia="zh-CN"/>
        </w:rPr>
        <w:t xml:space="preserve">62.5</w:t>
      </w:r>
      <w:r>
        <w:rPr>
          <w:rFonts w:hint="default" w:ascii="Times New Roman" w:hAnsi="Times New Roman" w:eastAsia="仿宋" w:cs="Times New Roman"/>
          <w:color w:val="auto"/>
          <w:sz w:val="24"/>
          <w:highlight w:val="none"/>
        </w:rPr>
        <w:t xml:space="preserve">（KW/KVA）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1.2额定电压：230V/400V</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1.3接线方式：</w:t>
      </w:r>
      <w:r>
        <w:rPr>
          <w:rFonts w:hint="default" w:ascii="Times New Roman" w:hAnsi="Times New Roman" w:eastAsia="仿宋" w:cs="Times New Roman"/>
          <w:color w:val="auto"/>
          <w:sz w:val="24"/>
          <w:highlight w:val="none"/>
          <w:lang w:val="en-US" w:eastAsia="zh-CN"/>
        </w:rPr>
        <w:t xml:space="preserve">三</w:t>
      </w:r>
      <w:r>
        <w:rPr>
          <w:rFonts w:hint="default" w:ascii="Times New Roman" w:hAnsi="Times New Roman" w:eastAsia="仿宋" w:cs="Times New Roman"/>
          <w:color w:val="auto"/>
          <w:sz w:val="24"/>
          <w:highlight w:val="none"/>
        </w:rPr>
        <w:t xml:space="preserve">相</w:t>
      </w:r>
      <w:r>
        <w:rPr>
          <w:rFonts w:hint="default" w:ascii="Times New Roman" w:hAnsi="Times New Roman" w:eastAsia="仿宋" w:cs="Times New Roman"/>
          <w:color w:val="auto"/>
          <w:sz w:val="24"/>
          <w:highlight w:val="none"/>
          <w:lang w:val="en-US" w:eastAsia="zh-CN"/>
        </w:rPr>
        <w:t xml:space="preserve">四</w:t>
      </w:r>
      <w:r>
        <w:rPr>
          <w:rFonts w:hint="default" w:ascii="Times New Roman" w:hAnsi="Times New Roman" w:eastAsia="仿宋" w:cs="Times New Roman"/>
          <w:color w:val="auto"/>
          <w:sz w:val="24"/>
          <w:highlight w:val="none"/>
        </w:rPr>
        <w:t xml:space="preserve">线</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Y接</w:t>
      </w:r>
      <w:r>
        <w:rPr>
          <w:rFonts w:hint="default" w:ascii="Times New Roman" w:hAnsi="Times New Roman" w:eastAsia="仿宋" w:cs="Times New Roman"/>
          <w:color w:val="auto"/>
          <w:sz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1.4额定电流：</w:t>
      </w:r>
      <w:r>
        <w:rPr>
          <w:rFonts w:hint="default" w:ascii="Times New Roman" w:hAnsi="Times New Roman" w:eastAsia="仿宋" w:cs="Times New Roman"/>
          <w:color w:val="auto"/>
          <w:sz w:val="24"/>
          <w:highlight w:val="none"/>
          <w:lang w:val="en-US" w:eastAsia="zh-CN"/>
        </w:rPr>
        <w:t xml:space="preserve">90</w:t>
      </w:r>
      <w:r>
        <w:rPr>
          <w:rFonts w:hint="default" w:ascii="Times New Roman" w:hAnsi="Times New Roman" w:eastAsia="仿宋" w:cs="Times New Roman"/>
          <w:color w:val="auto"/>
          <w:sz w:val="24"/>
          <w:highlight w:val="none"/>
        </w:rPr>
        <w:t xml:space="preserve">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1.5频率：50HZ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1.6功率因数0.8（滞后）</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1.7稳态电压调整率≤±0.5%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1.8瞬态电压调整率≤±15%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1.9电压稳定时间≤1S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1.10电压波动率≤1%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1.11稳态频率调整率≤±1%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1.12瞬态频率调整率≤±5%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1.13频率稳定时间≤3S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1.14频率波动率≤±0.5%</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1</w:t>
      </w:r>
      <w:r>
        <w:rPr>
          <w:rFonts w:hint="default" w:ascii="Times New Roman" w:hAnsi="Times New Roman" w:eastAsia="仿宋" w:cs="Times New Roman"/>
          <w:b/>
          <w:bCs/>
          <w:color w:val="auto"/>
          <w:sz w:val="24"/>
          <w:highlight w:val="none"/>
        </w:rPr>
        <w:t xml:space="preserve">.2.柴油发动机主要技术要求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2.1冷却方式：闭式水冷却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2.2速度（转/分）：1500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2.3进气方式：</w:t>
      </w:r>
      <w:r>
        <w:rPr>
          <w:rFonts w:hint="default" w:ascii="Times New Roman" w:hAnsi="Times New Roman" w:eastAsia="仿宋" w:cs="Times New Roman"/>
          <w:color w:val="auto"/>
          <w:sz w:val="24"/>
          <w:highlight w:val="none"/>
          <w:lang w:val="en-US" w:eastAsia="zh-CN"/>
        </w:rPr>
        <w:t xml:space="preserve">四冲程、</w:t>
      </w:r>
      <w:r>
        <w:rPr>
          <w:rFonts w:hint="default" w:ascii="Times New Roman" w:hAnsi="Times New Roman" w:eastAsia="仿宋" w:cs="Times New Roman"/>
          <w:color w:val="auto"/>
          <w:sz w:val="24"/>
          <w:highlight w:val="none"/>
        </w:rPr>
        <w:t xml:space="preserve">涡轮中冷</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2.4频率：50HZ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2.5调速型式：电子调速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起动方式：</w:t>
      </w:r>
      <w:r>
        <w:rPr>
          <w:rFonts w:hint="default" w:ascii="Times New Roman" w:hAnsi="Times New Roman" w:eastAsia="仿宋" w:cs="Times New Roman"/>
          <w:color w:val="auto"/>
          <w:sz w:val="24"/>
          <w:highlight w:val="none"/>
          <w:lang w:val="en-US" w:eastAsia="zh-CN"/>
        </w:rPr>
        <w:t xml:space="preserve">直流电启动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带载时间：从空载到满载时间少于30秒</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发动机使用国产0号或－10号轻柴油，并遵循BS5514标准；</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发动机额定功率应达到连续负载，并且与交流发电机的连续功率相配；</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0</w:t>
      </w:r>
      <w:r>
        <w:rPr>
          <w:rFonts w:hint="default" w:ascii="Times New Roman" w:hAnsi="Times New Roman" w:eastAsia="仿宋" w:cs="Times New Roman"/>
          <w:color w:val="auto"/>
          <w:sz w:val="24"/>
          <w:highlight w:val="none"/>
        </w:rPr>
        <w:t xml:space="preserve">发动机曲轴转速不应超过1500rpm，旋转的正常方向应是逆时针；</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设有超速保护装置，在超速达到10%的情况下停止燃料供应。</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1</w:t>
      </w:r>
      <w:r>
        <w:rPr>
          <w:rFonts w:hint="default" w:ascii="Times New Roman" w:hAnsi="Times New Roman" w:eastAsia="仿宋" w:cs="Times New Roman"/>
          <w:b/>
          <w:bCs/>
          <w:color w:val="auto"/>
          <w:sz w:val="24"/>
          <w:highlight w:val="none"/>
        </w:rPr>
        <w:t xml:space="preserve">.3发电机技术要求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3.1励磁方式：无刷自励磁</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3.2绝缘等级：H</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3.3防护等级：IP22</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冷却方式：自带风扇冷却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交流发电机的特性必须同发动机的转矩特性相匹配，以便在交流发电机满载时可利用发动机满载功率；</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交流发电机能够承受超过同步值10%的过速；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交流发电机可承受不平衡负载，允许一相的电流超过其它相20%；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交流发电机为防滴式；</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交流发电机能承受输出接线端短路3秒的短路电流，而不会对发电机造成损坏。</w:t>
      </w:r>
      <w:r/>
    </w:p>
    <w:p>
      <w:pPr>
        <w:ind w:firstLine="241"/>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2</w:t>
      </w:r>
      <w:r>
        <w:rPr>
          <w:rFonts w:hint="default" w:ascii="Times New Roman" w:hAnsi="Times New Roman" w:eastAsia="仿宋" w:cs="Times New Roman"/>
          <w:b/>
          <w:bCs/>
          <w:color w:val="auto"/>
          <w:sz w:val="24"/>
          <w:highlight w:val="none"/>
        </w:rPr>
        <w:t xml:space="preserve">.</w:t>
      </w:r>
      <w:r>
        <w:rPr>
          <w:rFonts w:hint="default" w:ascii="Times New Roman" w:hAnsi="Times New Roman" w:eastAsia="仿宋" w:cs="Times New Roman"/>
          <w:b/>
          <w:bCs/>
          <w:color w:val="auto"/>
          <w:sz w:val="24"/>
          <w:highlight w:val="none"/>
          <w:lang w:val="en-US" w:eastAsia="zh-CN"/>
        </w:rPr>
        <w:t xml:space="preserve">  200KW</w:t>
      </w:r>
      <w:r>
        <w:rPr>
          <w:rFonts w:hint="default" w:ascii="Times New Roman" w:hAnsi="Times New Roman" w:eastAsia="仿宋" w:cs="Times New Roman"/>
          <w:b/>
          <w:bCs/>
          <w:color w:val="auto"/>
          <w:sz w:val="24"/>
          <w:highlight w:val="none"/>
        </w:rPr>
        <w:t xml:space="preserve">主要技术参数：</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2.1柴油发电机组</w:t>
      </w:r>
      <w:r>
        <w:rPr>
          <w:rFonts w:hint="default" w:ascii="Times New Roman" w:hAnsi="Times New Roman" w:eastAsia="仿宋" w:cs="Times New Roman"/>
          <w:b/>
          <w:bCs/>
          <w:color w:val="auto"/>
          <w:sz w:val="24"/>
          <w:highlight w:val="none"/>
        </w:rPr>
        <w:t xml:space="preserve">主要技术参数</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.1.1机组额定功率：</w:t>
      </w:r>
      <w:r>
        <w:rPr>
          <w:rFonts w:hint="default" w:ascii="Times New Roman" w:hAnsi="Times New Roman" w:eastAsia="仿宋" w:cs="Times New Roman"/>
          <w:color w:val="auto"/>
          <w:sz w:val="24"/>
          <w:highlight w:val="none"/>
          <w:lang w:val="en-US" w:eastAsia="zh-CN"/>
        </w:rPr>
        <w:t xml:space="preserve">200</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250</w:t>
      </w:r>
      <w:r>
        <w:rPr>
          <w:rFonts w:hint="default" w:ascii="Times New Roman" w:hAnsi="Times New Roman" w:eastAsia="仿宋" w:cs="Times New Roman"/>
          <w:color w:val="auto"/>
          <w:sz w:val="24"/>
          <w:highlight w:val="none"/>
        </w:rPr>
        <w:t xml:space="preserve">（KW/KVA）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.1.2额定电压：230V/400V</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.1.3接线方式：</w:t>
      </w:r>
      <w:r>
        <w:rPr>
          <w:rFonts w:hint="default" w:ascii="Times New Roman" w:hAnsi="Times New Roman" w:eastAsia="仿宋" w:cs="Times New Roman"/>
          <w:color w:val="auto"/>
          <w:sz w:val="24"/>
          <w:highlight w:val="none"/>
          <w:lang w:val="en-US" w:eastAsia="zh-CN"/>
        </w:rPr>
        <w:t xml:space="preserve">三</w:t>
      </w:r>
      <w:r>
        <w:rPr>
          <w:rFonts w:hint="default" w:ascii="Times New Roman" w:hAnsi="Times New Roman" w:eastAsia="仿宋" w:cs="Times New Roman"/>
          <w:color w:val="auto"/>
          <w:sz w:val="24"/>
          <w:highlight w:val="none"/>
        </w:rPr>
        <w:t xml:space="preserve">相</w:t>
      </w:r>
      <w:r>
        <w:rPr>
          <w:rFonts w:hint="default" w:ascii="Times New Roman" w:hAnsi="Times New Roman" w:eastAsia="仿宋" w:cs="Times New Roman"/>
          <w:color w:val="auto"/>
          <w:sz w:val="24"/>
          <w:highlight w:val="none"/>
          <w:lang w:val="en-US" w:eastAsia="zh-CN"/>
        </w:rPr>
        <w:t xml:space="preserve">四</w:t>
      </w:r>
      <w:r>
        <w:rPr>
          <w:rFonts w:hint="default" w:ascii="Times New Roman" w:hAnsi="Times New Roman" w:eastAsia="仿宋" w:cs="Times New Roman"/>
          <w:color w:val="auto"/>
          <w:sz w:val="24"/>
          <w:highlight w:val="none"/>
        </w:rPr>
        <w:t xml:space="preserve">线</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Y接</w:t>
      </w:r>
      <w:r>
        <w:rPr>
          <w:rFonts w:hint="default" w:ascii="Times New Roman" w:hAnsi="Times New Roman" w:eastAsia="仿宋" w:cs="Times New Roman"/>
          <w:color w:val="auto"/>
          <w:sz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.1.4额定电流：</w:t>
      </w:r>
      <w:r>
        <w:rPr>
          <w:rFonts w:hint="default" w:ascii="Times New Roman" w:hAnsi="Times New Roman" w:eastAsia="仿宋" w:cs="Times New Roman"/>
          <w:color w:val="auto"/>
          <w:sz w:val="24"/>
          <w:highlight w:val="none"/>
          <w:lang w:val="en-US" w:eastAsia="zh-CN"/>
        </w:rPr>
        <w:t xml:space="preserve">360</w:t>
      </w:r>
      <w:r>
        <w:rPr>
          <w:rFonts w:hint="default" w:ascii="Times New Roman" w:hAnsi="Times New Roman" w:eastAsia="仿宋" w:cs="Times New Roman"/>
          <w:color w:val="auto"/>
          <w:sz w:val="24"/>
          <w:highlight w:val="none"/>
        </w:rPr>
        <w:t xml:space="preserve">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.1.5频率：50HZ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.1.6功率因数0.8（滞后）</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.1.7稳态电压调整率≤±0.5%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.1.8瞬态电压调整率≤±15%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.1.9电压稳定时间≤1S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.1.10电压波动率≤1%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.1.11稳态频率调整率≤±1%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.1.12瞬态频率调整率≤±5%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.1.13频率稳定时间≤3S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.1.14频率波动率≤±0.5%</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2</w:t>
      </w:r>
      <w:r>
        <w:rPr>
          <w:rFonts w:hint="default" w:ascii="Times New Roman" w:hAnsi="Times New Roman" w:eastAsia="仿宋" w:cs="Times New Roman"/>
          <w:b/>
          <w:bCs/>
          <w:color w:val="auto"/>
          <w:sz w:val="24"/>
          <w:highlight w:val="none"/>
        </w:rPr>
        <w:t xml:space="preserve">.2.柴油发动机主要技术要求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.2.1冷却方式：闭式水冷却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.2.2速度（转/分）：1500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.2.3进气方式：</w:t>
      </w:r>
      <w:r>
        <w:rPr>
          <w:rFonts w:hint="default" w:ascii="Times New Roman" w:hAnsi="Times New Roman" w:eastAsia="仿宋" w:cs="Times New Roman"/>
          <w:color w:val="auto"/>
          <w:sz w:val="24"/>
          <w:highlight w:val="none"/>
          <w:lang w:val="en-US" w:eastAsia="zh-CN"/>
        </w:rPr>
        <w:t xml:space="preserve">四冲程、</w:t>
      </w:r>
      <w:r>
        <w:rPr>
          <w:rFonts w:hint="default" w:ascii="Times New Roman" w:hAnsi="Times New Roman" w:eastAsia="仿宋" w:cs="Times New Roman"/>
          <w:color w:val="auto"/>
          <w:sz w:val="24"/>
          <w:highlight w:val="none"/>
        </w:rPr>
        <w:t xml:space="preserve">涡轮中冷</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.2.4频率：50HZ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.2.5调速型式：电子调速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起动方式：</w:t>
      </w:r>
      <w:r>
        <w:rPr>
          <w:rFonts w:hint="default" w:ascii="Times New Roman" w:hAnsi="Times New Roman" w:eastAsia="仿宋" w:cs="Times New Roman"/>
          <w:color w:val="auto"/>
          <w:sz w:val="24"/>
          <w:highlight w:val="none"/>
          <w:lang w:val="en-US" w:eastAsia="zh-CN"/>
        </w:rPr>
        <w:t xml:space="preserve">直流电启动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带载时间：从空载到满载时间少于30秒</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发动机使用国产0号或－10号轻柴油，并遵循BS5514标准；</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发动机额定功率应达到连续负载，并且与交流发电机的连续功率相配；</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0</w:t>
      </w:r>
      <w:r>
        <w:rPr>
          <w:rFonts w:hint="default" w:ascii="Times New Roman" w:hAnsi="Times New Roman" w:eastAsia="仿宋" w:cs="Times New Roman"/>
          <w:color w:val="auto"/>
          <w:sz w:val="24"/>
          <w:highlight w:val="none"/>
        </w:rPr>
        <w:t xml:space="preserve">发动机曲轴转速不应超过1500rpm，旋转的正常方向应是逆时针；</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设有超速保护装置，在超速达到10%的情况下停止燃料供应。</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2</w:t>
      </w:r>
      <w:r>
        <w:rPr>
          <w:rFonts w:hint="default" w:ascii="Times New Roman" w:hAnsi="Times New Roman" w:eastAsia="仿宋" w:cs="Times New Roman"/>
          <w:b/>
          <w:bCs/>
          <w:color w:val="auto"/>
          <w:sz w:val="24"/>
          <w:highlight w:val="none"/>
        </w:rPr>
        <w:t xml:space="preserve">.3发电机技术要求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.3.1励磁方式：无刷自励磁</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.3.2绝缘等级：H</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.3.3防护等级：IP22</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冷却方式：自带风扇冷却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交流发电机的特性必须同发动机的转矩特性相匹配，以便在交流发电机满载时可利用发动机满载功率；</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交流发电机能够承受超过同步值10%的过速；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交流发电机可承受不平衡负载，允许一相的电流超过其它相20%；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交流发电机为防滴式；</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交流发电机能承受输出接线端短路3秒的短路电流，而不会对发电机造成损坏。</w:t>
      </w:r>
      <w:r/>
    </w:p>
    <w:p>
      <w:pPr>
        <w:numPr>
          <w:ilvl w:val="0"/>
          <w:numId w:val="13"/>
        </w:numPr>
        <w:keepLines w:val="0"/>
        <w:keepNext w:val="0"/>
        <w:pageBreakBefore w:val="0"/>
        <w:spacing w:line="360" w:lineRule="auto"/>
        <w:widowControl w:val="off"/>
        <w:rPr>
          <w:rFonts w:hint="default" w:ascii="Times New Roman" w:hAnsi="Times New Roman" w:eastAsia="仿宋" w:cs="Times New Roman"/>
          <w:b/>
          <w:bCs/>
          <w:color w:val="auto"/>
          <w:sz w:val="24"/>
          <w:highlight w:val="none"/>
          <w:lang w:val="en-US" w:eastAsia="zh-CN"/>
        </w:rPr>
      </w:pPr>
      <w:r>
        <w:rPr>
          <w:rFonts w:hint="default" w:ascii="Times New Roman" w:hAnsi="Times New Roman" w:eastAsia="仿宋" w:cs="Times New Roman"/>
          <w:b/>
          <w:bCs/>
          <w:color w:val="auto"/>
          <w:sz w:val="24"/>
          <w:highlight w:val="none"/>
          <w:lang w:val="en-US" w:eastAsia="zh-CN"/>
        </w:rPr>
        <w:t xml:space="preserve">300KW主要技术参数：</w:t>
      </w:r>
      <w:r/>
    </w:p>
    <w:p>
      <w:pPr>
        <w:numPr>
          <w:ilvl w:val="0"/>
          <w:numId w:val="0"/>
        </w:num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lang w:val="en-US" w:eastAsia="zh-CN"/>
        </w:rPr>
      </w:pPr>
      <w:r>
        <w:rPr>
          <w:rFonts w:hint="default" w:ascii="Times New Roman" w:hAnsi="Times New Roman" w:eastAsia="仿宋" w:cs="Times New Roman"/>
          <w:b/>
          <w:bCs/>
          <w:color w:val="auto"/>
          <w:sz w:val="24"/>
          <w:highlight w:val="none"/>
          <w:lang w:val="en-US" w:eastAsia="zh-CN"/>
        </w:rPr>
        <w:t xml:space="preserve">3.1柴油发电机组</w:t>
      </w:r>
      <w:r>
        <w:rPr>
          <w:rFonts w:hint="default" w:ascii="Times New Roman" w:hAnsi="Times New Roman" w:eastAsia="仿宋" w:cs="Times New Roman"/>
          <w:b/>
          <w:bCs/>
          <w:color w:val="auto"/>
          <w:sz w:val="24"/>
          <w:highlight w:val="none"/>
        </w:rPr>
        <w:t xml:space="preserve">主要技术参数</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.1.1机组额定功率：</w:t>
      </w:r>
      <w:r>
        <w:rPr>
          <w:rFonts w:hint="default" w:ascii="Times New Roman" w:hAnsi="Times New Roman" w:eastAsia="仿宋" w:cs="Times New Roman"/>
          <w:color w:val="auto"/>
          <w:sz w:val="24"/>
          <w:highlight w:val="none"/>
          <w:lang w:val="en-US" w:eastAsia="zh-CN"/>
        </w:rPr>
        <w:t xml:space="preserve">300</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375</w:t>
      </w:r>
      <w:r>
        <w:rPr>
          <w:rFonts w:hint="default" w:ascii="Times New Roman" w:hAnsi="Times New Roman" w:eastAsia="仿宋" w:cs="Times New Roman"/>
          <w:color w:val="auto"/>
          <w:sz w:val="24"/>
          <w:highlight w:val="none"/>
        </w:rPr>
        <w:t xml:space="preserve">（KW/KVA）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.1.2额定电压：230V/400V</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.1.3接线方式：</w:t>
      </w:r>
      <w:r>
        <w:rPr>
          <w:rFonts w:hint="default" w:ascii="Times New Roman" w:hAnsi="Times New Roman" w:eastAsia="仿宋" w:cs="Times New Roman"/>
          <w:color w:val="auto"/>
          <w:sz w:val="24"/>
          <w:highlight w:val="none"/>
          <w:lang w:val="en-US" w:eastAsia="zh-CN"/>
        </w:rPr>
        <w:t xml:space="preserve">三</w:t>
      </w:r>
      <w:r>
        <w:rPr>
          <w:rFonts w:hint="default" w:ascii="Times New Roman" w:hAnsi="Times New Roman" w:eastAsia="仿宋" w:cs="Times New Roman"/>
          <w:color w:val="auto"/>
          <w:sz w:val="24"/>
          <w:highlight w:val="none"/>
        </w:rPr>
        <w:t xml:space="preserve">相</w:t>
      </w:r>
      <w:r>
        <w:rPr>
          <w:rFonts w:hint="default" w:ascii="Times New Roman" w:hAnsi="Times New Roman" w:eastAsia="仿宋" w:cs="Times New Roman"/>
          <w:color w:val="auto"/>
          <w:sz w:val="24"/>
          <w:highlight w:val="none"/>
          <w:lang w:val="en-US" w:eastAsia="zh-CN"/>
        </w:rPr>
        <w:t xml:space="preserve">四</w:t>
      </w:r>
      <w:r>
        <w:rPr>
          <w:rFonts w:hint="default" w:ascii="Times New Roman" w:hAnsi="Times New Roman" w:eastAsia="仿宋" w:cs="Times New Roman"/>
          <w:color w:val="auto"/>
          <w:sz w:val="24"/>
          <w:highlight w:val="none"/>
        </w:rPr>
        <w:t xml:space="preserve">线</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Y接</w:t>
      </w:r>
      <w:r>
        <w:rPr>
          <w:rFonts w:hint="default" w:ascii="Times New Roman" w:hAnsi="Times New Roman" w:eastAsia="仿宋" w:cs="Times New Roman"/>
          <w:color w:val="auto"/>
          <w:sz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.1.4额定电流：</w:t>
      </w:r>
      <w:r>
        <w:rPr>
          <w:rFonts w:hint="default" w:ascii="Times New Roman" w:hAnsi="Times New Roman" w:eastAsia="仿宋" w:cs="Times New Roman"/>
          <w:color w:val="auto"/>
          <w:sz w:val="24"/>
          <w:highlight w:val="none"/>
          <w:lang w:val="en-US" w:eastAsia="zh-CN"/>
        </w:rPr>
        <w:t xml:space="preserve">540</w:t>
      </w:r>
      <w:r>
        <w:rPr>
          <w:rFonts w:hint="default" w:ascii="Times New Roman" w:hAnsi="Times New Roman" w:eastAsia="仿宋" w:cs="Times New Roman"/>
          <w:color w:val="auto"/>
          <w:sz w:val="24"/>
          <w:highlight w:val="none"/>
        </w:rPr>
        <w:t xml:space="preserve">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.1.5频率：50HZ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.1.6功率因数0.8（滞后）</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.1.7稳态电压调整率≤±0.5%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.1.8瞬态电压调整率≤±15%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.1.9电压稳定时间≤1S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.1.10电压波动率≤1%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.1.11稳态频率调整率≤±1%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.1.12瞬态频率调整率≤±5%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.1.13频率稳定时间≤3S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.1.14频率波动率≤±0.5%</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3</w:t>
      </w:r>
      <w:r>
        <w:rPr>
          <w:rFonts w:hint="default" w:ascii="Times New Roman" w:hAnsi="Times New Roman" w:eastAsia="仿宋" w:cs="Times New Roman"/>
          <w:b/>
          <w:bCs/>
          <w:color w:val="auto"/>
          <w:sz w:val="24"/>
          <w:highlight w:val="none"/>
        </w:rPr>
        <w:t xml:space="preserve">.2.柴油发动机主要技术要求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.2.1冷却方式：闭式水冷却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.2.2速度（转/分）：1500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.2.3进气方式：</w:t>
      </w:r>
      <w:r>
        <w:rPr>
          <w:rFonts w:hint="default" w:ascii="Times New Roman" w:hAnsi="Times New Roman" w:eastAsia="仿宋" w:cs="Times New Roman"/>
          <w:color w:val="auto"/>
          <w:sz w:val="24"/>
          <w:highlight w:val="none"/>
          <w:lang w:val="en-US" w:eastAsia="zh-CN"/>
        </w:rPr>
        <w:t xml:space="preserve">四冲程、</w:t>
      </w:r>
      <w:r>
        <w:rPr>
          <w:rFonts w:hint="default" w:ascii="Times New Roman" w:hAnsi="Times New Roman" w:eastAsia="仿宋" w:cs="Times New Roman"/>
          <w:color w:val="auto"/>
          <w:sz w:val="24"/>
          <w:highlight w:val="none"/>
        </w:rPr>
        <w:t xml:space="preserve">涡轮中冷</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.2.4频率：50HZ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.2.5调速型式：电子调速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起动方式：</w:t>
      </w:r>
      <w:r>
        <w:rPr>
          <w:rFonts w:hint="default" w:ascii="Times New Roman" w:hAnsi="Times New Roman" w:eastAsia="仿宋" w:cs="Times New Roman"/>
          <w:color w:val="auto"/>
          <w:sz w:val="24"/>
          <w:highlight w:val="none"/>
          <w:lang w:val="en-US" w:eastAsia="zh-CN"/>
        </w:rPr>
        <w:t xml:space="preserve">直流电启动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带载时间：从空载到满载时间少于30秒</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发动机使用国产0号或－10号轻柴油，并遵循BS5514标准；</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发动机额定功率应达到连续负载，并且与交流发电机的连续功率相配；</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0</w:t>
      </w:r>
      <w:r>
        <w:rPr>
          <w:rFonts w:hint="default" w:ascii="Times New Roman" w:hAnsi="Times New Roman" w:eastAsia="仿宋" w:cs="Times New Roman"/>
          <w:color w:val="auto"/>
          <w:sz w:val="24"/>
          <w:highlight w:val="none"/>
        </w:rPr>
        <w:t xml:space="preserve">发动机曲轴转速不应超过1500rpm，旋转的正常方向应是逆时针；</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设有超速保护装置，在超速达到10%的情况下停止燃料供应。</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3</w:t>
      </w:r>
      <w:r>
        <w:rPr>
          <w:rFonts w:hint="default" w:ascii="Times New Roman" w:hAnsi="Times New Roman" w:eastAsia="仿宋" w:cs="Times New Roman"/>
          <w:b/>
          <w:bCs/>
          <w:color w:val="auto"/>
          <w:sz w:val="24"/>
          <w:highlight w:val="none"/>
        </w:rPr>
        <w:t xml:space="preserve">.3发电机技术要求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.3.1励磁方式：无刷自励磁</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.3.2绝缘等级：H</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防护等级：IP22</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冷却方式：自带风扇冷却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交流发电机的特性必须同发动机的转矩特性相匹配，以便在交流发电机满载时可利用发动机满载功率；</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交流发电机能够承受超过同步值10%的过速；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交流发电机可承受不平衡负载，允许一相的电流超过其它相20%；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交流发电机为防滴式；</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交流发电机能承受输出接线端短路3秒的短路电流，而不会对发电机造成损坏。</w:t>
      </w:r>
      <w:r/>
    </w:p>
    <w:p>
      <w:pPr>
        <w:numPr>
          <w:ilvl w:val="0"/>
          <w:numId w:val="13"/>
        </w:numPr>
        <w:ind w:left="0" w:firstLine="0"/>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 500KW</w:t>
      </w:r>
      <w:r>
        <w:rPr>
          <w:rFonts w:hint="default" w:ascii="Times New Roman" w:hAnsi="Times New Roman" w:eastAsia="仿宋" w:cs="Times New Roman"/>
          <w:b/>
          <w:bCs/>
          <w:color w:val="auto"/>
          <w:sz w:val="24"/>
          <w:highlight w:val="none"/>
        </w:rPr>
        <w:t xml:space="preserve">主要技术参数：</w:t>
      </w:r>
      <w:r/>
    </w:p>
    <w:p>
      <w:pPr>
        <w:numPr>
          <w:ilvl w:val="0"/>
          <w:numId w:val="0"/>
        </w:num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4.1柴油发电机组</w:t>
      </w:r>
      <w:r>
        <w:rPr>
          <w:rFonts w:hint="default" w:ascii="Times New Roman" w:hAnsi="Times New Roman" w:eastAsia="仿宋" w:cs="Times New Roman"/>
          <w:b/>
          <w:bCs/>
          <w:color w:val="auto"/>
          <w:sz w:val="24"/>
          <w:highlight w:val="none"/>
        </w:rPr>
        <w:t xml:space="preserve">主要技术参数</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.1.1机组额定功率：</w:t>
      </w:r>
      <w:r>
        <w:rPr>
          <w:rFonts w:hint="default" w:ascii="Times New Roman" w:hAnsi="Times New Roman" w:eastAsia="仿宋" w:cs="Times New Roman"/>
          <w:color w:val="auto"/>
          <w:sz w:val="24"/>
          <w:highlight w:val="none"/>
          <w:lang w:val="en-US" w:eastAsia="zh-CN"/>
        </w:rPr>
        <w:t xml:space="preserve">500</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625</w:t>
      </w:r>
      <w:r>
        <w:rPr>
          <w:rFonts w:hint="default" w:ascii="Times New Roman" w:hAnsi="Times New Roman" w:eastAsia="仿宋" w:cs="Times New Roman"/>
          <w:color w:val="auto"/>
          <w:sz w:val="24"/>
          <w:highlight w:val="none"/>
        </w:rPr>
        <w:t xml:space="preserve">（KW/KVA）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.1.2额定电压：230V/400V</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.1.3接线方式：</w:t>
      </w:r>
      <w:r>
        <w:rPr>
          <w:rFonts w:hint="default" w:ascii="Times New Roman" w:hAnsi="Times New Roman" w:eastAsia="仿宋" w:cs="Times New Roman"/>
          <w:color w:val="auto"/>
          <w:sz w:val="24"/>
          <w:highlight w:val="none"/>
          <w:lang w:val="en-US" w:eastAsia="zh-CN"/>
        </w:rPr>
        <w:t xml:space="preserve">三</w:t>
      </w:r>
      <w:r>
        <w:rPr>
          <w:rFonts w:hint="default" w:ascii="Times New Roman" w:hAnsi="Times New Roman" w:eastAsia="仿宋" w:cs="Times New Roman"/>
          <w:color w:val="auto"/>
          <w:sz w:val="24"/>
          <w:highlight w:val="none"/>
        </w:rPr>
        <w:t xml:space="preserve">相</w:t>
      </w:r>
      <w:r>
        <w:rPr>
          <w:rFonts w:hint="default" w:ascii="Times New Roman" w:hAnsi="Times New Roman" w:eastAsia="仿宋" w:cs="Times New Roman"/>
          <w:color w:val="auto"/>
          <w:sz w:val="24"/>
          <w:highlight w:val="none"/>
          <w:lang w:val="en-US" w:eastAsia="zh-CN"/>
        </w:rPr>
        <w:t xml:space="preserve">四</w:t>
      </w:r>
      <w:r>
        <w:rPr>
          <w:rFonts w:hint="default" w:ascii="Times New Roman" w:hAnsi="Times New Roman" w:eastAsia="仿宋" w:cs="Times New Roman"/>
          <w:color w:val="auto"/>
          <w:sz w:val="24"/>
          <w:highlight w:val="none"/>
        </w:rPr>
        <w:t xml:space="preserve">线</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Y接</w:t>
      </w:r>
      <w:r>
        <w:rPr>
          <w:rFonts w:hint="default" w:ascii="Times New Roman" w:hAnsi="Times New Roman" w:eastAsia="仿宋" w:cs="Times New Roman"/>
          <w:color w:val="auto"/>
          <w:sz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.1.4额定电流：</w:t>
      </w:r>
      <w:r>
        <w:rPr>
          <w:rFonts w:hint="default" w:ascii="Times New Roman" w:hAnsi="Times New Roman" w:eastAsia="仿宋" w:cs="Times New Roman"/>
          <w:color w:val="auto"/>
          <w:sz w:val="24"/>
          <w:highlight w:val="none"/>
          <w:lang w:val="en-US" w:eastAsia="zh-CN"/>
        </w:rPr>
        <w:t xml:space="preserve">900</w:t>
      </w:r>
      <w:r>
        <w:rPr>
          <w:rFonts w:hint="default" w:ascii="Times New Roman" w:hAnsi="Times New Roman" w:eastAsia="仿宋" w:cs="Times New Roman"/>
          <w:color w:val="auto"/>
          <w:sz w:val="24"/>
          <w:highlight w:val="none"/>
        </w:rPr>
        <w:t xml:space="preserve">A</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.1.5频率：50HZ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.1.6功率因数0.8（滞后）</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.1.7稳态电压调整率≤±0.5%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.1.8瞬态电压调整率≤±15%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.1.9电压稳定时间≤1S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.1.10电压波动率≤1%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.1.11稳态频率调整率≤±1%</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.1.12瞬态频率调整率≤±5%</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.1.13频率稳定时间≤3S</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.1.14频率波动率≤±0.5%</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4</w:t>
      </w:r>
      <w:r>
        <w:rPr>
          <w:rFonts w:hint="default" w:ascii="Times New Roman" w:hAnsi="Times New Roman" w:eastAsia="仿宋" w:cs="Times New Roman"/>
          <w:b/>
          <w:bCs/>
          <w:color w:val="auto"/>
          <w:sz w:val="24"/>
          <w:highlight w:val="none"/>
        </w:rPr>
        <w:t xml:space="preserve">.2.柴油发动机主要技术要求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.2.1冷却方式：闭式水冷却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2.2速度（转/分）：1500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.2.3进气方式：</w:t>
      </w:r>
      <w:r>
        <w:rPr>
          <w:rFonts w:hint="default" w:ascii="Times New Roman" w:hAnsi="Times New Roman" w:eastAsia="仿宋" w:cs="Times New Roman"/>
          <w:color w:val="auto"/>
          <w:sz w:val="24"/>
          <w:highlight w:val="none"/>
          <w:lang w:val="en-US" w:eastAsia="zh-CN"/>
        </w:rPr>
        <w:t xml:space="preserve">四冲程、</w:t>
      </w:r>
      <w:r>
        <w:rPr>
          <w:rFonts w:hint="default" w:ascii="Times New Roman" w:hAnsi="Times New Roman" w:eastAsia="仿宋" w:cs="Times New Roman"/>
          <w:color w:val="auto"/>
          <w:sz w:val="24"/>
          <w:highlight w:val="none"/>
        </w:rPr>
        <w:t xml:space="preserve">涡轮中冷</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.2.4频率：50HZ</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.2.5调速型式：电子调速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起动方式：</w:t>
      </w:r>
      <w:r>
        <w:rPr>
          <w:rFonts w:hint="default" w:ascii="Times New Roman" w:hAnsi="Times New Roman" w:eastAsia="仿宋" w:cs="Times New Roman"/>
          <w:color w:val="auto"/>
          <w:sz w:val="24"/>
          <w:highlight w:val="none"/>
          <w:lang w:val="en-US" w:eastAsia="zh-CN"/>
        </w:rPr>
        <w:t xml:space="preserve">直流电启动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带载时间：从空载到满载时间少于30秒</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发动机使用国产0号或－10号轻柴油，并遵循BS5514标准；</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发动机额定功率应达到连续负载，并且与交流发电机的连续功率相配；</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0</w:t>
      </w:r>
      <w:r>
        <w:rPr>
          <w:rFonts w:hint="default" w:ascii="Times New Roman" w:hAnsi="Times New Roman" w:eastAsia="仿宋" w:cs="Times New Roman"/>
          <w:color w:val="auto"/>
          <w:sz w:val="24"/>
          <w:highlight w:val="none"/>
        </w:rPr>
        <w:t xml:space="preserve">发动机曲轴转速不应超过1500rpm，旋转的正常方向应是逆时针；</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2.1</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设有超速保护装置，在超速达到10%的情况下停止燃料供应。</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4</w:t>
      </w:r>
      <w:r>
        <w:rPr>
          <w:rFonts w:hint="default" w:ascii="Times New Roman" w:hAnsi="Times New Roman" w:eastAsia="仿宋" w:cs="Times New Roman"/>
          <w:b/>
          <w:bCs/>
          <w:color w:val="auto"/>
          <w:sz w:val="24"/>
          <w:highlight w:val="none"/>
        </w:rPr>
        <w:t xml:space="preserve">.3发电机技术要求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.3.1励磁方式：无刷自励磁</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.3.2绝缘等级：H</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.3.3防护等级：IP22</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冷却方式：自带风扇冷却</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交流发电机的特性必须同发动机的转矩特性相匹配，以便在交流发电机满载时可利用发动机满载功率；</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交流发电机能够承受超过同步值10%的过速；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交流发电机可承受不平衡负载，允许一相的电流超过其它相20%；</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交流发电机为防滴式；</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交流发电机能承受输出接线端短路3秒的短路电流，而不会对发电机造成损坏。</w:t>
      </w:r>
      <w:r/>
    </w:p>
    <w:p>
      <w:pPr>
        <w:numPr>
          <w:ilvl w:val="0"/>
          <w:numId w:val="13"/>
        </w:numPr>
        <w:ind w:left="0" w:firstLine="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控制系统技术要求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5.1</w:t>
      </w:r>
      <w:r>
        <w:rPr>
          <w:rFonts w:hint="default" w:ascii="Times New Roman" w:hAnsi="Times New Roman" w:eastAsia="仿宋" w:cs="Times New Roman"/>
          <w:color w:val="auto"/>
          <w:sz w:val="24"/>
          <w:szCs w:val="24"/>
          <w:highlight w:val="none"/>
        </w:rPr>
        <w:t xml:space="preserve">起停方式:自动、手动</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可调</w:t>
      </w:r>
      <w:r>
        <w:rPr>
          <w:rFonts w:hint="default" w:ascii="Times New Roman" w:hAnsi="Times New Roman" w:eastAsia="仿宋" w:cs="Times New Roman"/>
          <w:color w:val="auto"/>
          <w:sz w:val="24"/>
          <w:szCs w:val="24"/>
          <w:highlight w:val="none"/>
          <w:lang w:eastAsia="zh-CN"/>
        </w:rPr>
        <w:t xml:space="preserve">）</w:t>
      </w:r>
      <w:r/>
    </w:p>
    <w:p>
      <w:pPr>
        <w:numPr>
          <w:ilvl w:val="0"/>
          <w:numId w:val="13"/>
        </w:numPr>
        <w:ind w:left="0" w:firstLine="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散热器技术要求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rPr>
        <w:t xml:space="preserve">.1发动机散热器能保证机组在≤40℃环境温度下满负荷正常运行；</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rPr>
        <w:t xml:space="preserve">.2在冷却系统加</w:t>
      </w:r>
      <w:r>
        <w:rPr>
          <w:rFonts w:hint="default" w:ascii="Times New Roman" w:hAnsi="Times New Roman" w:eastAsia="仿宋" w:cs="Times New Roman"/>
          <w:color w:val="auto"/>
          <w:sz w:val="24"/>
          <w:szCs w:val="24"/>
          <w:highlight w:val="none"/>
          <w:lang w:val="en-US" w:eastAsia="zh-CN"/>
        </w:rPr>
        <w:t xml:space="preserve">防冻液</w:t>
      </w:r>
      <w:r>
        <w:rPr>
          <w:rFonts w:hint="default" w:ascii="Times New Roman" w:hAnsi="Times New Roman" w:eastAsia="仿宋" w:cs="Times New Roman"/>
          <w:color w:val="auto"/>
          <w:sz w:val="24"/>
          <w:szCs w:val="24"/>
          <w:highlight w:val="none"/>
        </w:rPr>
        <w:t xml:space="preserve">。</w:t>
      </w:r>
      <w:r/>
    </w:p>
    <w:p>
      <w:pPr>
        <w:numPr>
          <w:ilvl w:val="0"/>
          <w:numId w:val="13"/>
        </w:numPr>
        <w:ind w:left="0" w:firstLine="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耦合排列和防振装置。</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7</w:t>
      </w:r>
      <w:r>
        <w:rPr>
          <w:rFonts w:hint="default" w:ascii="Times New Roman" w:hAnsi="Times New Roman" w:eastAsia="仿宋" w:cs="Times New Roman"/>
          <w:color w:val="auto"/>
          <w:sz w:val="24"/>
          <w:szCs w:val="24"/>
          <w:highlight w:val="none"/>
        </w:rPr>
        <w:t xml:space="preserve">.1柴油机直接联接到发电机上；</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7</w:t>
      </w:r>
      <w:r>
        <w:rPr>
          <w:rFonts w:hint="default" w:ascii="Times New Roman" w:hAnsi="Times New Roman" w:eastAsia="仿宋" w:cs="Times New Roman"/>
          <w:color w:val="auto"/>
          <w:sz w:val="24"/>
          <w:szCs w:val="24"/>
          <w:highlight w:val="none"/>
        </w:rPr>
        <w:t xml:space="preserve">.2有防振装置</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不会将振动传到临近的设备或建筑物的任何部分。</w:t>
      </w:r>
      <w:r/>
    </w:p>
    <w:p>
      <w:pPr>
        <w:numPr>
          <w:ilvl w:val="0"/>
          <w:numId w:val="13"/>
        </w:numPr>
        <w:ind w:left="0" w:firstLine="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排气消音器和烟道</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8</w:t>
      </w:r>
      <w:r>
        <w:rPr>
          <w:rFonts w:hint="default" w:ascii="Times New Roman" w:hAnsi="Times New Roman" w:eastAsia="仿宋" w:cs="Times New Roman"/>
          <w:color w:val="auto"/>
          <w:sz w:val="24"/>
          <w:szCs w:val="24"/>
          <w:highlight w:val="none"/>
        </w:rPr>
        <w:t xml:space="preserve">.1排气系统包括排气消音器、弯管等；</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8</w:t>
      </w:r>
      <w:r>
        <w:rPr>
          <w:rFonts w:hint="default" w:ascii="Times New Roman" w:hAnsi="Times New Roman" w:eastAsia="仿宋" w:cs="Times New Roman"/>
          <w:color w:val="auto"/>
          <w:sz w:val="24"/>
          <w:szCs w:val="24"/>
          <w:highlight w:val="none"/>
        </w:rPr>
        <w:t xml:space="preserve">.2烟道排气系统中的所有连接都使用具有耐热接合的法兰联结；</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8</w:t>
      </w:r>
      <w:r>
        <w:rPr>
          <w:rFonts w:hint="default" w:ascii="Times New Roman" w:hAnsi="Times New Roman" w:eastAsia="仿宋" w:cs="Times New Roman"/>
          <w:color w:val="auto"/>
          <w:sz w:val="24"/>
          <w:szCs w:val="24"/>
          <w:highlight w:val="none"/>
        </w:rPr>
        <w:t xml:space="preserve">.3消音器为间隔式，大小以确保在安装时可正常运作而无过多背压。</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直流电起动系统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rPr>
        <w:t xml:space="preserve">.1发动机组采用直流工作的电动机起动发电机组，配有手动起动和起动器保险回路；</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rPr>
        <w:t xml:space="preserve">.2发动机起动控制设备能断开市电电源操作的蓄电池充电器，以防止在起动过程超载。</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rPr>
        <w:t xml:space="preserve">.3起动电动机有足够的负载电力并且是非持续式。在起动电动机完全通电之前，小齿轮应横向移动以同发动机飞轮上的齿圈结合；</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起动蓄电池</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b/>
          <w:color w:val="auto"/>
          <w:sz w:val="24"/>
          <w:szCs w:val="24"/>
          <w:highlight w:val="none"/>
        </w:rPr>
        <w:t xml:space="preserve">需选用免维护</w:t>
      </w:r>
      <w:r>
        <w:rPr>
          <w:rFonts w:hint="default" w:ascii="Times New Roman" w:hAnsi="Times New Roman" w:eastAsia="仿宋" w:cs="Times New Roman"/>
          <w:color w:val="auto"/>
          <w:sz w:val="24"/>
          <w:szCs w:val="24"/>
          <w:highlight w:val="none"/>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rPr>
        <w:t xml:space="preserve">.1配备足够安培小时容量和放电率的24V直流发动机起动的蓄电池组，该蓄电池组能提供15秒内连续3次起动（每次间隔为5秒种），并不会给蓄电池造成损害；</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润滑系统</w:t>
      </w:r>
      <w:r>
        <w:rPr>
          <w:rFonts w:hint="default" w:ascii="Times New Roman" w:hAnsi="Times New Roman" w:eastAsia="仿宋" w:cs="Times New Roman"/>
          <w:color w:val="auto"/>
          <w:sz w:val="24"/>
          <w:szCs w:val="24"/>
          <w:highlight w:val="none"/>
        </w:rPr>
        <w:t xml:space="preserve">：密封压力供油润滑系统配有机械润滑油泵、润滑油冷却器、润滑油滤清器和润滑油油位尺等。</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空气系统：</w:t>
      </w:r>
      <w:r>
        <w:rPr>
          <w:rFonts w:hint="default" w:ascii="Times New Roman" w:hAnsi="Times New Roman" w:eastAsia="仿宋" w:cs="Times New Roman"/>
          <w:color w:val="auto"/>
          <w:sz w:val="24"/>
          <w:szCs w:val="24"/>
          <w:highlight w:val="none"/>
        </w:rPr>
        <w:t xml:space="preserve">配有可更换的干式空气滤清器，包括一个滤清器阻塞自动报警装置。</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发电机组及相关设备的控制和保护</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13</w:t>
      </w:r>
      <w:r>
        <w:rPr>
          <w:rFonts w:hint="default" w:ascii="Times New Roman" w:hAnsi="Times New Roman" w:eastAsia="仿宋" w:cs="Times New Roman"/>
          <w:color w:val="auto"/>
          <w:sz w:val="24"/>
          <w:szCs w:val="24"/>
          <w:highlight w:val="none"/>
        </w:rPr>
        <w:t xml:space="preserve">.1发动机各种运行参数显示：润滑油压力、冷却水温度、运行时间、转速。</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13</w:t>
      </w:r>
      <w:r>
        <w:rPr>
          <w:rFonts w:hint="default" w:ascii="Times New Roman" w:hAnsi="Times New Roman" w:eastAsia="仿宋" w:cs="Times New Roman"/>
          <w:color w:val="auto"/>
          <w:sz w:val="24"/>
          <w:szCs w:val="24"/>
          <w:highlight w:val="none"/>
        </w:rPr>
        <w:t xml:space="preserve">.2发动机配备如下保护装置：低润滑油压力、高冷却液温度、发动机超速、启动失败、短路、频率低、过电流等。</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控制装置</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rPr>
        <w:t xml:space="preserve">.1控制器能检测实际发动机转动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rPr>
        <w:t xml:space="preserve">.2速度控制达到标准</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rPr>
        <w:t xml:space="preserve">.3速度调节装置</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rPr>
        <w:t xml:space="preserve">.4可预先调试速度以确保满载时的额定频率</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电压调整和调节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15.</w:t>
      </w:r>
      <w:r>
        <w:rPr>
          <w:rFonts w:hint="default" w:ascii="Times New Roman" w:hAnsi="Times New Roman" w:eastAsia="仿宋" w:cs="Times New Roman"/>
          <w:color w:val="auto"/>
          <w:sz w:val="24"/>
          <w:szCs w:val="24"/>
          <w:highlight w:val="none"/>
        </w:rPr>
        <w:t xml:space="preserve">1发电机电压调整系统的性能达到规定IP23级。</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15.</w:t>
      </w:r>
      <w:r>
        <w:rPr>
          <w:rFonts w:hint="default" w:ascii="Times New Roman" w:hAnsi="Times New Roman" w:eastAsia="仿宋" w:cs="Times New Roman"/>
          <w:color w:val="auto"/>
          <w:sz w:val="24"/>
          <w:szCs w:val="24"/>
          <w:highlight w:val="none"/>
        </w:rPr>
        <w:t xml:space="preserve">2电压调节：在设计参数范围内，电子自动调整输出电压。</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控制盘及整机控制</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16.</w:t>
      </w:r>
      <w:r>
        <w:rPr>
          <w:rFonts w:hint="default" w:ascii="Times New Roman" w:hAnsi="Times New Roman" w:eastAsia="仿宋" w:cs="Times New Roman"/>
          <w:color w:val="auto"/>
          <w:sz w:val="24"/>
          <w:szCs w:val="24"/>
          <w:highlight w:val="none"/>
        </w:rPr>
        <w:t xml:space="preserve">1控制盘安装、设计采用可靠的支承构架。</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16</w:t>
      </w:r>
      <w:r>
        <w:rPr>
          <w:rFonts w:hint="default" w:ascii="Times New Roman" w:hAnsi="Times New Roman" w:eastAsia="仿宋" w:cs="Times New Roman"/>
          <w:color w:val="auto"/>
          <w:sz w:val="24"/>
          <w:szCs w:val="24"/>
          <w:highlight w:val="none"/>
        </w:rPr>
        <w:t xml:space="preserve">.2控制柜能够承受机械、振动、电和热应力以及防潮的需要。</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16</w:t>
      </w:r>
      <w:r>
        <w:rPr>
          <w:rFonts w:hint="default" w:ascii="Times New Roman" w:hAnsi="Times New Roman" w:eastAsia="仿宋" w:cs="Times New Roman"/>
          <w:color w:val="auto"/>
          <w:sz w:val="24"/>
          <w:szCs w:val="24"/>
          <w:highlight w:val="none"/>
        </w:rPr>
        <w:t xml:space="preserve">.3配备保护性设备以防止控制电路中短路带来不良后果。</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16</w:t>
      </w:r>
      <w:r>
        <w:rPr>
          <w:rFonts w:hint="default" w:ascii="Times New Roman" w:hAnsi="Times New Roman" w:eastAsia="仿宋" w:cs="Times New Roman"/>
          <w:color w:val="auto"/>
          <w:sz w:val="24"/>
          <w:szCs w:val="24"/>
          <w:highlight w:val="none"/>
        </w:rPr>
        <w:t xml:space="preserve">.4柜内的仪器和测量器械配线以避免因移动门或盖子造成机械损坏。</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控制柜应包括</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17</w:t>
      </w:r>
      <w:r>
        <w:rPr>
          <w:rFonts w:hint="default" w:ascii="Times New Roman" w:hAnsi="Times New Roman" w:eastAsia="仿宋" w:cs="Times New Roman"/>
          <w:color w:val="auto"/>
          <w:sz w:val="24"/>
          <w:szCs w:val="24"/>
          <w:highlight w:val="none"/>
        </w:rPr>
        <w:t xml:space="preserve">.1电流表、电压表、频率表等</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17</w:t>
      </w:r>
      <w:r>
        <w:rPr>
          <w:rFonts w:hint="default" w:ascii="Times New Roman" w:hAnsi="Times New Roman" w:eastAsia="仿宋" w:cs="Times New Roman"/>
          <w:color w:val="auto"/>
          <w:sz w:val="24"/>
          <w:szCs w:val="24"/>
          <w:highlight w:val="none"/>
        </w:rPr>
        <w:t xml:space="preserve">.2故障警报及停车</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报警：低润滑油油压、低冷却液温度报警等。</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停车：低润滑油油压、高冷却液温度停车、启动失败、超速、短路、过电流等。</w:t>
      </w:r>
      <w:r/>
    </w:p>
    <w:p>
      <w:pPr>
        <w:numPr>
          <w:ilvl w:val="0"/>
          <w:numId w:val="13"/>
        </w:numPr>
        <w:ind w:left="0" w:firstLine="241"/>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发动机保护：</w:t>
      </w:r>
      <w:r>
        <w:rPr>
          <w:rFonts w:hint="default" w:ascii="Times New Roman" w:hAnsi="Times New Roman" w:eastAsia="仿宋" w:cs="Times New Roman"/>
          <w:color w:val="auto"/>
          <w:sz w:val="24"/>
          <w:szCs w:val="24"/>
          <w:highlight w:val="none"/>
        </w:rPr>
        <w:t xml:space="preserve">发动机至少应配备如下保护性装置以便在下述情况下自动关闭。低润滑油压力、发动机高冷却液温度、发动机超速、启动失败。</w:t>
      </w:r>
      <w:r/>
    </w:p>
    <w:p>
      <w:pPr>
        <w:ind w:firstLine="241"/>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val="en-US" w:eastAsia="zh-CN"/>
        </w:rPr>
        <w:t xml:space="preserve">19.</w:t>
      </w:r>
      <w:r>
        <w:rPr>
          <w:rFonts w:hint="default" w:ascii="Times New Roman" w:hAnsi="Times New Roman" w:eastAsia="仿宋" w:cs="Times New Roman"/>
          <w:b/>
          <w:bCs/>
          <w:color w:val="auto"/>
          <w:sz w:val="24"/>
          <w:szCs w:val="24"/>
          <w:highlight w:val="none"/>
        </w:rPr>
        <w:t xml:space="preserve">系统操作及性能</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19</w:t>
      </w:r>
      <w:r>
        <w:rPr>
          <w:rFonts w:hint="default" w:ascii="Times New Roman" w:hAnsi="Times New Roman" w:eastAsia="仿宋" w:cs="Times New Roman"/>
          <w:color w:val="auto"/>
          <w:sz w:val="24"/>
          <w:szCs w:val="24"/>
          <w:highlight w:val="none"/>
        </w:rPr>
        <w:t xml:space="preserve">.1控制板采用自动或手动启动方式。</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19.</w:t>
      </w:r>
      <w:r>
        <w:rPr>
          <w:rFonts w:hint="default" w:ascii="Times New Roman" w:hAnsi="Times New Roman" w:eastAsia="仿宋" w:cs="Times New Roman"/>
          <w:color w:val="auto"/>
          <w:sz w:val="24"/>
          <w:szCs w:val="24"/>
          <w:highlight w:val="none"/>
        </w:rPr>
        <w:t xml:space="preserve">.2发电机组能运用位于控制板上的控制开关自动或手动起动。一旦起动且运行正常，发电机能自动连接到所需的基本负载。</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19</w:t>
      </w:r>
      <w:r>
        <w:rPr>
          <w:rFonts w:hint="default" w:ascii="Times New Roman" w:hAnsi="Times New Roman" w:eastAsia="仿宋" w:cs="Times New Roman"/>
          <w:color w:val="auto"/>
          <w:sz w:val="24"/>
          <w:szCs w:val="24"/>
          <w:highlight w:val="none"/>
        </w:rPr>
        <w:t xml:space="preserve">.3在整个手动起动程式中，只要电力网可用，所有负载就不能转移到发电机。</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19.4</w:t>
      </w:r>
      <w:r>
        <w:rPr>
          <w:rFonts w:hint="default" w:ascii="Times New Roman" w:hAnsi="Times New Roman" w:eastAsia="仿宋" w:cs="Times New Roman"/>
          <w:b/>
          <w:bCs/>
          <w:color w:val="auto"/>
          <w:sz w:val="24"/>
          <w:szCs w:val="24"/>
          <w:highlight w:val="none"/>
          <w:lang w:val="en-US" w:eastAsia="zh-CN"/>
        </w:rPr>
        <w:t xml:space="preserve">室外型箱体（降噪）</w:t>
      </w:r>
      <w:r/>
    </w:p>
    <w:p>
      <w:pPr>
        <w:ind w:firstLine="213"/>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pacing w:val="-14"/>
          <w:sz w:val="24"/>
          <w:szCs w:val="24"/>
          <w:highlight w:val="none"/>
        </w:rPr>
        <w:t xml:space="preserve">▲</w:t>
      </w:r>
      <w:r>
        <w:rPr>
          <w:rFonts w:hint="default" w:ascii="Times New Roman" w:hAnsi="Times New Roman" w:eastAsia="仿宋" w:cs="Times New Roman"/>
          <w:b/>
          <w:color w:val="auto"/>
          <w:sz w:val="24"/>
          <w:szCs w:val="24"/>
          <w:highlight w:val="none"/>
          <w:lang w:val="en-US" w:eastAsia="zh-CN"/>
        </w:rPr>
        <w:t xml:space="preserve">20.</w:t>
      </w:r>
      <w:r>
        <w:rPr>
          <w:rFonts w:hint="eastAsia" w:ascii="Times New Roman" w:hAnsi="Times New Roman" w:eastAsia="仿宋" w:cs="Times New Roman"/>
          <w:b/>
          <w:color w:val="auto"/>
          <w:sz w:val="24"/>
          <w:szCs w:val="24"/>
          <w:highlight w:val="none"/>
          <w:lang w:val="en-US" w:eastAsia="zh-CN"/>
        </w:rPr>
        <w:t xml:space="preserve"> </w:t>
      </w:r>
      <w:r>
        <w:rPr>
          <w:rFonts w:hint="default" w:ascii="Times New Roman" w:hAnsi="Times New Roman" w:eastAsia="仿宋" w:cs="Times New Roman"/>
          <w:b/>
          <w:color w:val="auto"/>
          <w:sz w:val="24"/>
          <w:szCs w:val="24"/>
          <w:highlight w:val="none"/>
        </w:rPr>
        <w:t xml:space="preserve">发电机组整机保修期</w:t>
      </w:r>
      <w:r>
        <w:rPr>
          <w:rFonts w:hint="eastAsia" w:eastAsia="仿宋" w:cs="Times New Roman"/>
          <w:b/>
          <w:color w:val="auto"/>
          <w:sz w:val="24"/>
          <w:szCs w:val="24"/>
          <w:highlight w:val="none"/>
          <w:lang w:val="en-US" w:eastAsia="zh-CN"/>
        </w:rPr>
        <w:t xml:space="preserve">为12</w:t>
      </w:r>
      <w:r>
        <w:rPr>
          <w:rFonts w:hint="default" w:ascii="Times New Roman" w:hAnsi="Times New Roman" w:eastAsia="仿宋" w:cs="Times New Roman"/>
          <w:b/>
          <w:color w:val="auto"/>
          <w:sz w:val="24"/>
          <w:szCs w:val="24"/>
          <w:highlight w:val="none"/>
        </w:rPr>
        <w:t xml:space="preserve">个月</w:t>
      </w:r>
      <w:r>
        <w:rPr>
          <w:rFonts w:hint="eastAsia" w:eastAsia="仿宋" w:cs="Times New Roman"/>
          <w:b/>
          <w:color w:val="auto"/>
          <w:sz w:val="24"/>
          <w:szCs w:val="24"/>
          <w:highlight w:val="none"/>
          <w:lang w:eastAsia="zh-CN"/>
        </w:rPr>
        <w:t xml:space="preserve">（</w:t>
      </w:r>
      <w:r>
        <w:rPr>
          <w:rFonts w:hint="eastAsia" w:eastAsia="仿宋" w:cs="Times New Roman"/>
          <w:b/>
          <w:color w:val="auto"/>
          <w:sz w:val="24"/>
          <w:szCs w:val="24"/>
          <w:highlight w:val="none"/>
          <w:lang w:val="en-US" w:eastAsia="zh-CN"/>
        </w:rPr>
        <w:t xml:space="preserve">竣工验收合格之日起算</w:t>
      </w:r>
      <w:r>
        <w:rPr>
          <w:rFonts w:hint="eastAsia" w:eastAsia="仿宋" w:cs="Times New Roman"/>
          <w:b/>
          <w:color w:val="auto"/>
          <w:sz w:val="24"/>
          <w:szCs w:val="24"/>
          <w:highlight w:val="none"/>
          <w:lang w:eastAsia="zh-CN"/>
        </w:rPr>
        <w:t xml:space="preserve">）</w:t>
      </w:r>
      <w:r>
        <w:rPr>
          <w:rFonts w:hint="default" w:ascii="Times New Roman" w:hAnsi="Times New Roman" w:eastAsia="仿宋" w:cs="Times New Roman"/>
          <w:b/>
          <w:color w:val="auto"/>
          <w:sz w:val="24"/>
          <w:szCs w:val="24"/>
          <w:highlight w:val="none"/>
        </w:rPr>
        <w:t xml:space="preserve">。</w:t>
      </w:r>
      <w:r/>
    </w:p>
    <w:p>
      <w:pPr>
        <w:numPr>
          <w:ilvl w:val="0"/>
          <w:numId w:val="8"/>
        </w:numPr>
        <w:ind w:left="0" w:firstLine="510"/>
        <w:jc w:val="left"/>
        <w:keepLines w:val="0"/>
        <w:keepNext w:val="0"/>
        <w:pageBreakBefore w:val="0"/>
        <w:spacing w:line="360" w:lineRule="auto"/>
        <w:shd w:val="clear" w:color="auto" w:fill="ffffff"/>
        <w:widowControl/>
        <w:rPr>
          <w:rFonts w:hint="eastAsia" w:eastAsia="仿宋" w:cs="Times New Roman"/>
          <w:b/>
          <w:bCs/>
          <w:color w:val="auto"/>
          <w:spacing w:val="7"/>
          <w:sz w:val="24"/>
          <w:szCs w:val="24"/>
          <w:highlight w:val="none"/>
          <w:lang w:val="en-US" w:eastAsia="zh-CN" w:bidi="ar-SA"/>
        </w:rPr>
      </w:pPr>
      <w:r>
        <w:rPr>
          <w:rFonts w:hint="eastAsia" w:eastAsia="仿宋" w:cs="Times New Roman"/>
          <w:b/>
          <w:bCs/>
          <w:color w:val="auto"/>
          <w:spacing w:val="7"/>
          <w:sz w:val="24"/>
          <w:szCs w:val="24"/>
          <w:highlight w:val="none"/>
          <w:lang w:val="en-US" w:eastAsia="zh-CN" w:bidi="ar-SA"/>
        </w:rPr>
        <w:t xml:space="preserve">商务要求</w:t>
      </w:r>
      <w:r/>
    </w:p>
    <w:p>
      <w:pPr>
        <w:ind w:left="0" w:firstLine="480"/>
        <w:keepLines w:val="0"/>
        <w:keepNext w:val="0"/>
        <w:pageBreakBefore w:val="0"/>
        <w:spacing w:line="360"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1</w:t>
      </w:r>
      <w:r>
        <w:rPr>
          <w:rFonts w:hint="eastAsia" w:eastAsia="仿宋" w:cs="Times New Roman"/>
          <w:color w:val="auto"/>
          <w:sz w:val="24"/>
          <w:szCs w:val="24"/>
          <w:highlight w:val="none"/>
          <w:lang w:val="en-US" w:eastAsia="zh-CN"/>
        </w:rPr>
        <w:t xml:space="preserve">、</w:t>
      </w:r>
      <w:r>
        <w:rPr>
          <w:rFonts w:hint="eastAsia" w:ascii="Times New Roman" w:hAnsi="Times New Roman" w:eastAsia="仿宋" w:cs="Times New Roman"/>
          <w:color w:val="auto"/>
          <w:sz w:val="24"/>
          <w:szCs w:val="24"/>
          <w:highlight w:val="none"/>
          <w:lang w:val="en-US" w:eastAsia="zh-CN"/>
        </w:rPr>
        <w:t xml:space="preserve">柴油发电机组具备双电源切换功能；</w:t>
      </w:r>
      <w:r/>
    </w:p>
    <w:p>
      <w:pPr>
        <w:ind w:left="0" w:firstLine="480"/>
        <w:keepLines w:val="0"/>
        <w:keepNext w:val="0"/>
        <w:pageBreakBefore w:val="0"/>
        <w:spacing w:line="360"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2、油箱容积满足8小时以上满负荷运行；含备用柴油</w:t>
      </w:r>
      <w:r>
        <w:rPr>
          <w:rFonts w:hint="eastAsia" w:eastAsia="仿宋" w:cs="Times New Roman"/>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3、配套设施：户外静音箱、发电机基础、发电机到双电源切换箱再到配电房低压柜的电缆及电缆沟的制作安装；</w:t>
      </w:r>
      <w:r/>
    </w:p>
    <w:p>
      <w:pPr>
        <w:ind w:left="0" w:firstLine="480"/>
        <w:keepLines w:val="0"/>
        <w:keepNext w:val="0"/>
        <w:pageBreakBefore w:val="0"/>
        <w:spacing w:line="360"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4、安全措施：围栏、雨棚、灭火器、砂箱等、标识、标牌；</w:t>
      </w:r>
      <w:r/>
    </w:p>
    <w:p>
      <w:pPr>
        <w:ind w:left="0" w:firstLine="480"/>
        <w:keepLines w:val="0"/>
        <w:keepNext w:val="0"/>
        <w:pageBreakBefore w:val="0"/>
        <w:spacing w:line="360"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5、安装、调试，并满足环保检查要求</w:t>
      </w:r>
      <w:r/>
    </w:p>
    <w:p>
      <w:pPr>
        <w:ind w:left="0" w:firstLine="480"/>
        <w:keepLines w:val="0"/>
        <w:keepNext w:val="0"/>
        <w:pageBreakBefore w:val="0"/>
        <w:spacing w:line="360" w:lineRule="auto"/>
        <w:rPr>
          <w:rFonts w:hint="eastAsia"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6、售后服务：提供质保期内1次/月的发电机</w:t>
      </w:r>
      <w:r>
        <w:rPr>
          <w:rFonts w:hint="eastAsia" w:eastAsia="仿宋" w:cs="Times New Roman"/>
          <w:color w:val="auto"/>
          <w:sz w:val="24"/>
          <w:szCs w:val="24"/>
          <w:highlight w:val="none"/>
          <w:lang w:val="en-US" w:eastAsia="zh-CN"/>
        </w:rPr>
        <w:t xml:space="preserve">组</w:t>
      </w:r>
      <w:r>
        <w:rPr>
          <w:rFonts w:hint="eastAsia" w:ascii="Times New Roman" w:hAnsi="Times New Roman" w:eastAsia="仿宋" w:cs="Times New Roman"/>
          <w:color w:val="auto"/>
          <w:sz w:val="24"/>
          <w:szCs w:val="24"/>
          <w:highlight w:val="none"/>
          <w:lang w:val="en-US" w:eastAsia="zh-CN"/>
        </w:rPr>
        <w:t xml:space="preserve">巡查、试运行工作</w:t>
      </w:r>
      <w:r>
        <w:rPr>
          <w:rFonts w:hint="eastAsia" w:eastAsia="仿宋" w:cs="Times New Roman"/>
          <w:color w:val="auto"/>
          <w:sz w:val="24"/>
          <w:szCs w:val="24"/>
          <w:highlight w:val="none"/>
          <w:lang w:val="en-US" w:eastAsia="zh-CN"/>
        </w:rPr>
        <w:t xml:space="preserve">。</w:t>
      </w:r>
      <w:r/>
    </w:p>
    <w:p>
      <w:pPr>
        <w:pStyle w:val="844"/>
        <w:ind w:left="0" w:firstLine="480"/>
        <w:keepLines w:val="0"/>
        <w:keepNext w:val="0"/>
        <w:pageBreakBefore w:val="0"/>
        <w:spacing w:after="0" w:line="360" w:lineRule="auto"/>
        <w:widowControl w:val="off"/>
        <w:rPr>
          <w:rFonts w:hint="default" w:ascii="Times New Roman" w:hAnsi="Times New Roman" w:eastAsia="仿宋" w:cs="Times New Roman"/>
          <w:bCs/>
          <w:color w:val="auto"/>
          <w:sz w:val="24"/>
          <w:szCs w:val="24"/>
          <w:highlight w:val="none"/>
        </w:rPr>
        <w:outlineLvl w:val="9"/>
      </w:pPr>
      <w:r>
        <w:rPr>
          <w:rFonts w:hint="default" w:ascii="Times New Roman" w:hAnsi="Times New Roman" w:eastAsia="仿宋" w:cs="Times New Roman"/>
          <w:bCs/>
          <w:color w:val="auto"/>
          <w:sz w:val="24"/>
          <w:szCs w:val="24"/>
          <w:highlight w:val="none"/>
        </w:rPr>
        <w:t xml:space="preserve">（1）供应商应安排一定数量的专业人员进行本项目的维保及相关服务</w:t>
      </w:r>
      <w:r>
        <w:rPr>
          <w:rFonts w:hint="eastAsia" w:ascii="Times New Roman" w:eastAsia="仿宋" w:cs="Times New Roman"/>
          <w:bCs/>
          <w:color w:val="auto"/>
          <w:sz w:val="24"/>
          <w:szCs w:val="24"/>
          <w:highlight w:val="none"/>
          <w:lang w:eastAsia="zh-CN"/>
        </w:rPr>
        <w:t xml:space="preserve">，</w:t>
      </w:r>
      <w:r>
        <w:rPr>
          <w:rFonts w:hint="eastAsia" w:ascii="Times New Roman" w:eastAsia="仿宋" w:cs="Times New Roman"/>
          <w:bCs/>
          <w:color w:val="auto"/>
          <w:sz w:val="24"/>
          <w:szCs w:val="24"/>
          <w:highlight w:val="none"/>
          <w:lang w:val="en-US" w:eastAsia="zh-CN"/>
        </w:rPr>
        <w:t xml:space="preserve">维保人员</w:t>
      </w:r>
      <w:r>
        <w:rPr>
          <w:rFonts w:hint="default" w:ascii="Times New Roman" w:hAnsi="Times New Roman" w:eastAsia="仿宋" w:cs="Times New Roman"/>
          <w:bCs/>
          <w:color w:val="auto"/>
          <w:sz w:val="24"/>
          <w:szCs w:val="24"/>
          <w:highlight w:val="none"/>
        </w:rPr>
        <w:t xml:space="preserve">具备相应的技术水平和资格</w:t>
      </w:r>
      <w:r>
        <w:rPr>
          <w:rFonts w:hint="default" w:ascii="Times New Roman" w:hAnsi="Times New Roman" w:eastAsia="仿宋" w:cs="Times New Roman"/>
          <w:bCs/>
          <w:color w:val="auto"/>
          <w:sz w:val="24"/>
          <w:szCs w:val="24"/>
          <w:highlight w:val="none"/>
          <w:lang w:val="en-US" w:eastAsia="zh-CN"/>
        </w:rPr>
        <w:t xml:space="preserve">；</w:t>
      </w:r>
      <w:r>
        <w:rPr>
          <w:rFonts w:hint="default" w:ascii="Times New Roman" w:hAnsi="Times New Roman" w:eastAsia="仿宋" w:cs="Times New Roman"/>
          <w:bCs/>
          <w:color w:val="auto"/>
          <w:sz w:val="24"/>
          <w:szCs w:val="24"/>
          <w:highlight w:val="none"/>
        </w:rPr>
        <w:t xml:space="preserve">做好上岗前的安全培训，特殊工种作业人员必须做到持证上岗。</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lang w:eastAsia="zh-CN"/>
        </w:rPr>
        <w:outlineLvl w:val="9"/>
      </w:pPr>
      <w:r>
        <w:rPr>
          <w:rFonts w:hint="default" w:ascii="Times New Roman" w:hAnsi="Times New Roman" w:eastAsia="仿宋" w:cs="Times New Roman"/>
          <w:bCs/>
          <w:color w:val="auto"/>
          <w:sz w:val="24"/>
          <w:szCs w:val="24"/>
          <w:highlight w:val="none"/>
        </w:rPr>
        <w:t xml:space="preserve">（2）本项目整体验收后，供应商应安排专业人员对今后相关人员进行设备操作</w:t>
      </w:r>
      <w:r>
        <w:rPr>
          <w:rFonts w:hint="default" w:ascii="Times New Roman" w:hAnsi="Times New Roman" w:eastAsia="仿宋" w:cs="Times New Roman"/>
          <w:bCs/>
          <w:color w:val="auto"/>
          <w:sz w:val="24"/>
          <w:szCs w:val="24"/>
          <w:highlight w:val="none"/>
          <w:lang w:val="en-US" w:eastAsia="zh-CN"/>
        </w:rPr>
        <w:t xml:space="preserve">培训</w:t>
      </w:r>
      <w:r>
        <w:rPr>
          <w:rFonts w:hint="default" w:ascii="Times New Roman" w:hAnsi="Times New Roman" w:eastAsia="仿宋" w:cs="Times New Roman"/>
          <w:bCs/>
          <w:color w:val="auto"/>
          <w:sz w:val="24"/>
          <w:szCs w:val="24"/>
          <w:highlight w:val="none"/>
          <w:lang w:eastAsia="zh-CN"/>
        </w:rPr>
        <w:t xml:space="preserve">。</w:t>
      </w:r>
      <w:r/>
    </w:p>
    <w:p>
      <w:pPr>
        <w:numPr>
          <w:ilvl w:val="0"/>
          <w:numId w:val="8"/>
        </w:numPr>
        <w:ind w:left="0" w:firstLine="510"/>
        <w:jc w:val="left"/>
        <w:keepLines w:val="0"/>
        <w:keepNext w:val="0"/>
        <w:pageBreakBefore w:val="0"/>
        <w:spacing w:line="360" w:lineRule="auto"/>
        <w:shd w:val="clear" w:color="auto" w:fill="ffffff"/>
        <w:widowControl/>
        <w:rPr>
          <w:rFonts w:hint="default" w:eastAsia="仿宋" w:cs="Times New Roman"/>
          <w:b/>
          <w:bCs/>
          <w:color w:val="auto"/>
          <w:spacing w:val="7"/>
          <w:sz w:val="24"/>
          <w:szCs w:val="24"/>
          <w:highlight w:val="none"/>
          <w:lang w:val="en-US" w:eastAsia="zh-CN" w:bidi="ar-SA"/>
        </w:rPr>
      </w:pPr>
      <w:r>
        <w:rPr>
          <w:rFonts w:hint="default" w:eastAsia="仿宋" w:cs="Times New Roman"/>
          <w:b/>
          <w:bCs/>
          <w:color w:val="auto"/>
          <w:spacing w:val="7"/>
          <w:sz w:val="24"/>
          <w:szCs w:val="24"/>
          <w:highlight w:val="none"/>
          <w:lang w:val="en-US" w:eastAsia="zh-CN" w:bidi="ar-SA"/>
        </w:rPr>
        <w:t xml:space="preserve">报价说明：</w:t>
      </w:r>
      <w:r/>
    </w:p>
    <w:p>
      <w:pPr>
        <w:ind w:left="0" w:firstLine="480"/>
        <w:keepLines w:val="0"/>
        <w:keepNext w:val="0"/>
        <w:pageBreakBefore w:val="0"/>
        <w:spacing w:line="360" w:lineRule="auto"/>
        <w:rPr>
          <w:rFonts w:hint="default" w:ascii="Times New Roman" w:hAnsi="Times New Roman" w:eastAsia="仿宋" w:cs="Times New Roman"/>
          <w:color w:val="auto"/>
          <w:sz w:val="24"/>
          <w:szCs w:val="24"/>
          <w:highlight w:val="none"/>
        </w:rPr>
      </w:pPr>
      <w:r/>
      <w:bookmarkStart w:id="152" w:name="_Hlk181002639"/>
      <w:r>
        <w:rPr>
          <w:rFonts w:hint="default" w:ascii="Times New Roman" w:hAnsi="Times New Roman" w:eastAsia="仿宋" w:cs="Times New Roman"/>
          <w:color w:val="auto"/>
          <w:sz w:val="24"/>
          <w:szCs w:val="24"/>
          <w:highlight w:val="none"/>
        </w:rPr>
        <w:t xml:space="preserve">（1）本项目为交钥匙工程。</w:t>
      </w:r>
      <w:r>
        <w:rPr>
          <w:rFonts w:hint="default" w:ascii="Times New Roman" w:hAnsi="Times New Roman" w:eastAsia="仿宋" w:cs="Times New Roman"/>
          <w:color w:val="auto"/>
          <w:sz w:val="24"/>
          <w:szCs w:val="24"/>
          <w:highlight w:val="none"/>
          <w:lang w:val="en-US" w:eastAsia="zh-CN"/>
        </w:rPr>
        <w:t xml:space="preserve">供应商的</w:t>
      </w:r>
      <w:r>
        <w:rPr>
          <w:rFonts w:hint="default" w:ascii="Times New Roman" w:hAnsi="Times New Roman" w:eastAsia="仿宋" w:cs="Times New Roman"/>
          <w:color w:val="auto"/>
          <w:sz w:val="24"/>
          <w:szCs w:val="24"/>
          <w:highlight w:val="none"/>
        </w:rPr>
        <w:t xml:space="preserve">报价包含但不限于人员、设备、安装、调试</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Cs/>
          <w:color w:val="auto"/>
          <w:sz w:val="24"/>
          <w:szCs w:val="24"/>
          <w:highlight w:val="none"/>
          <w:lang w:val="zh-CN"/>
        </w:rPr>
        <w:t xml:space="preserve">卸力费、二次搬运、</w:t>
      </w:r>
      <w:r>
        <w:rPr>
          <w:rFonts w:hint="default" w:ascii="Times New Roman" w:hAnsi="Times New Roman" w:eastAsia="仿宋" w:cs="Times New Roman"/>
          <w:color w:val="auto"/>
          <w:sz w:val="24"/>
          <w:szCs w:val="24"/>
          <w:highlight w:val="none"/>
        </w:rPr>
        <w:t xml:space="preserve">施工过程的辅材</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bCs/>
          <w:color w:val="auto"/>
          <w:sz w:val="24"/>
          <w:szCs w:val="24"/>
          <w:highlight w:val="none"/>
          <w:lang w:val="zh-CN"/>
        </w:rPr>
        <w:t xml:space="preserve">国家有关管理部门要求的检测费以及夜间施工办证费</w:t>
      </w:r>
      <w:r>
        <w:rPr>
          <w:rFonts w:hint="default" w:ascii="Times New Roman" w:hAnsi="Times New Roman" w:eastAsia="仿宋" w:cs="Times New Roman"/>
          <w:color w:val="auto"/>
          <w:sz w:val="24"/>
          <w:szCs w:val="24"/>
          <w:highlight w:val="none"/>
        </w:rPr>
        <w:t xml:space="preserve">、验收、伴随配套服务等所有含税费用。</w:t>
      </w:r>
      <w:r/>
    </w:p>
    <w:p>
      <w:pPr>
        <w:ind w:left="0" w:firstLine="480"/>
        <w:keepLines w:val="0"/>
        <w:keepNext w:val="0"/>
        <w:pageBreakBefore w:val="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（2）供应商的任何错漏、优惠、竞争性报价不得作为减轻责任、减少服务、增加收费、降低服务质量的理由。</w:t>
      </w:r>
      <w:r/>
    </w:p>
    <w:p>
      <w:pPr>
        <w:ind w:left="0" w:firstLine="480"/>
        <w:keepLines w:val="0"/>
        <w:keepNext w:val="0"/>
        <w:pageBreakBefore w:val="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bookmarkEnd w:id="152"/>
      <w:r/>
    </w:p>
    <w:p>
      <w:pPr>
        <w:numPr>
          <w:ilvl w:val="0"/>
          <w:numId w:val="8"/>
        </w:numPr>
        <w:ind w:left="0" w:firstLine="510"/>
        <w:jc w:val="left"/>
        <w:keepLines w:val="0"/>
        <w:keepNext w:val="0"/>
        <w:pageBreakBefore w:val="0"/>
        <w:spacing w:line="360" w:lineRule="auto"/>
        <w:shd w:val="clear" w:color="auto" w:fill="ffffff"/>
        <w:widowControl/>
        <w:rPr>
          <w:rFonts w:hint="default" w:eastAsia="仿宋" w:cs="Times New Roman"/>
          <w:b/>
          <w:bCs/>
          <w:color w:val="auto"/>
          <w:spacing w:val="7"/>
          <w:sz w:val="24"/>
          <w:szCs w:val="24"/>
          <w:highlight w:val="none"/>
          <w:lang w:val="en-US" w:eastAsia="zh-CN" w:bidi="ar-SA"/>
        </w:rPr>
      </w:pPr>
      <w:r>
        <w:rPr>
          <w:rFonts w:hint="default" w:eastAsia="仿宋" w:cs="Times New Roman"/>
          <w:b/>
          <w:bCs/>
          <w:color w:val="auto"/>
          <w:spacing w:val="7"/>
          <w:sz w:val="24"/>
          <w:szCs w:val="24"/>
          <w:highlight w:val="none"/>
          <w:lang w:val="en-US" w:eastAsia="zh-CN" w:bidi="ar-SA"/>
        </w:rPr>
        <w:t xml:space="preserve">本项目的核心产品</w:t>
      </w:r>
      <w:r/>
    </w:p>
    <w:p>
      <w:pPr>
        <w:pStyle w:val="879"/>
        <w:ind w:left="0"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rPr>
        <w:t xml:space="preserve">核心产品为：</w:t>
      </w:r>
      <w:r>
        <w:rPr>
          <w:rFonts w:hint="eastAsia" w:ascii="Times New Roman" w:eastAsia="仿宋" w:cs="Times New Roman"/>
          <w:b/>
          <w:bCs/>
          <w:color w:val="auto"/>
          <w:sz w:val="24"/>
          <w:szCs w:val="24"/>
          <w:highlight w:val="none"/>
          <w:lang w:val="en-US" w:eastAsia="zh-CN"/>
        </w:rPr>
        <w:t xml:space="preserve">500KW发电机组</w:t>
      </w:r>
      <w:r/>
    </w:p>
    <w:p>
      <w:pPr>
        <w:pStyle w:val="879"/>
        <w:ind w:left="0" w:firstLine="480"/>
        <w:keepLines w:val="0"/>
        <w:keepNext w:val="0"/>
        <w:pageBreakBefore w:val="0"/>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sz w:val="24"/>
          <w:szCs w:val="24"/>
          <w:highlight w:val="none"/>
        </w:rPr>
        <w:t xml:space="preserve">多家供应商提供的核心产品品牌相同的，按照财政部87号令第31条规定处理。</w:t>
      </w:r>
      <w:r/>
    </w:p>
    <w:p>
      <w:pPr>
        <w:numPr>
          <w:ilvl w:val="0"/>
          <w:numId w:val="8"/>
        </w:numPr>
        <w:ind w:left="0" w:firstLine="510"/>
        <w:jc w:val="left"/>
        <w:keepLines w:val="0"/>
        <w:keepNext w:val="0"/>
        <w:pageBreakBefore w:val="0"/>
        <w:spacing w:line="360" w:lineRule="auto"/>
        <w:shd w:val="clear" w:color="auto" w:fill="ffffff"/>
        <w:widowControl/>
        <w:rPr>
          <w:rFonts w:hint="default" w:eastAsia="仿宋" w:cs="Times New Roman"/>
          <w:b/>
          <w:bCs/>
          <w:color w:val="auto"/>
          <w:spacing w:val="7"/>
          <w:sz w:val="24"/>
          <w:szCs w:val="24"/>
          <w:highlight w:val="none"/>
          <w:lang w:val="en-US" w:eastAsia="zh-CN" w:bidi="ar-SA"/>
        </w:rPr>
      </w:pPr>
      <w:r>
        <w:rPr>
          <w:rFonts w:hint="default" w:eastAsia="仿宋" w:cs="Times New Roman"/>
          <w:b/>
          <w:bCs/>
          <w:color w:val="auto"/>
          <w:spacing w:val="7"/>
          <w:sz w:val="24"/>
          <w:szCs w:val="24"/>
          <w:highlight w:val="none"/>
          <w:lang w:val="en-US" w:eastAsia="zh-CN" w:bidi="ar-SA"/>
        </w:rPr>
        <w:t xml:space="preserve">安全施工要求</w:t>
      </w:r>
      <w:r/>
    </w:p>
    <w:p>
      <w:pPr>
        <w:pStyle w:val="865"/>
        <w:ind w:left="0" w:firstLine="480"/>
        <w:keepLines w:val="0"/>
        <w:keepNext w:val="0"/>
        <w:pageBreakBefore w:val="0"/>
        <w:spacing w:after="0" w:line="360" w:lineRule="auto"/>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en-US" w:eastAsia="zh-CN"/>
        </w:rPr>
        <w:t xml:space="preserve">中标</w:t>
      </w:r>
      <w:r>
        <w:rPr>
          <w:rFonts w:hint="default" w:ascii="Times New Roman" w:hAnsi="Times New Roman" w:eastAsia="仿宋" w:cs="Times New Roman"/>
          <w:color w:val="auto"/>
          <w:sz w:val="24"/>
          <w:szCs w:val="24"/>
          <w:highlight w:val="none"/>
        </w:rPr>
        <w:t xml:space="preserve">供应商应安全文明施工，加强安全管控，采取安全措施，确保施工安全。因本项目施工产生的施工人员和管理人员人身安全问题、物件损失或伤及第三人（人身或财产）等事件，由</w:t>
      </w:r>
      <w:r>
        <w:rPr>
          <w:rFonts w:hint="default" w:ascii="Times New Roman" w:hAnsi="Times New Roman" w:eastAsia="仿宋" w:cs="Times New Roman"/>
          <w:color w:val="auto"/>
          <w:sz w:val="24"/>
          <w:szCs w:val="24"/>
          <w:highlight w:val="none"/>
          <w:lang w:val="en-US" w:eastAsia="zh-CN"/>
        </w:rPr>
        <w:t xml:space="preserve">中标</w:t>
      </w:r>
      <w:r>
        <w:rPr>
          <w:rFonts w:hint="default" w:ascii="Times New Roman" w:hAnsi="Times New Roman" w:eastAsia="仿宋" w:cs="Times New Roman"/>
          <w:color w:val="auto"/>
          <w:sz w:val="24"/>
          <w:szCs w:val="24"/>
          <w:highlight w:val="none"/>
        </w:rPr>
        <w:t xml:space="preserve">供应商承担全部责任，造成的经济损失及因</w:t>
      </w:r>
      <w:r>
        <w:rPr>
          <w:rFonts w:hint="default" w:ascii="Times New Roman" w:hAnsi="Times New Roman" w:eastAsia="仿宋" w:cs="Times New Roman"/>
          <w:color w:val="auto"/>
          <w:sz w:val="24"/>
          <w:szCs w:val="24"/>
          <w:highlight w:val="none"/>
          <w:lang w:val="en-US" w:eastAsia="zh-CN"/>
        </w:rPr>
        <w:t xml:space="preserve">中标</w:t>
      </w:r>
      <w:r>
        <w:rPr>
          <w:rFonts w:hint="default" w:ascii="Times New Roman" w:hAnsi="Times New Roman" w:eastAsia="仿宋" w:cs="Times New Roman"/>
          <w:color w:val="auto"/>
          <w:sz w:val="24"/>
          <w:szCs w:val="24"/>
          <w:highlight w:val="none"/>
        </w:rPr>
        <w:t xml:space="preserve">供应商责任给采购人造成的连带经济损失全部由</w:t>
      </w:r>
      <w:r>
        <w:rPr>
          <w:rFonts w:hint="default" w:ascii="Times New Roman" w:hAnsi="Times New Roman" w:eastAsia="仿宋" w:cs="Times New Roman"/>
          <w:color w:val="auto"/>
          <w:sz w:val="24"/>
          <w:szCs w:val="24"/>
          <w:highlight w:val="none"/>
          <w:lang w:val="en-US" w:eastAsia="zh-CN"/>
        </w:rPr>
        <w:t xml:space="preserve">中标</w:t>
      </w:r>
      <w:r>
        <w:rPr>
          <w:rFonts w:hint="default" w:ascii="Times New Roman" w:hAnsi="Times New Roman" w:eastAsia="仿宋" w:cs="Times New Roman"/>
          <w:color w:val="auto"/>
          <w:sz w:val="24"/>
          <w:szCs w:val="24"/>
          <w:highlight w:val="none"/>
        </w:rPr>
        <w:t xml:space="preserve">供应商承担。</w:t>
      </w:r>
      <w:r/>
    </w:p>
    <w:p>
      <w:pPr>
        <w:pStyle w:val="865"/>
        <w:ind w:left="0" w:firstLine="480"/>
        <w:keepLines w:val="0"/>
        <w:keepNext w:val="0"/>
        <w:pageBreakBefore w:val="0"/>
        <w:spacing w:after="0" w:line="360" w:lineRule="auto"/>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2、采购人有权组织对</w:t>
      </w:r>
      <w:r>
        <w:rPr>
          <w:rFonts w:hint="default" w:ascii="Times New Roman" w:hAnsi="Times New Roman" w:eastAsia="仿宋" w:cs="Times New Roman"/>
          <w:color w:val="auto"/>
          <w:sz w:val="24"/>
          <w:szCs w:val="24"/>
          <w:highlight w:val="none"/>
          <w:lang w:val="en-US" w:eastAsia="zh-CN"/>
        </w:rPr>
        <w:t xml:space="preserve">中标</w:t>
      </w:r>
      <w:r>
        <w:rPr>
          <w:rFonts w:hint="default" w:ascii="Times New Roman" w:hAnsi="Times New Roman" w:eastAsia="仿宋" w:cs="Times New Roman"/>
          <w:color w:val="auto"/>
          <w:sz w:val="24"/>
          <w:szCs w:val="24"/>
          <w:highlight w:val="none"/>
        </w:rPr>
        <w:t xml:space="preserve">供应商安全规范作业、文明施工情况的检查。对</w:t>
      </w:r>
      <w:r>
        <w:rPr>
          <w:rFonts w:hint="default" w:ascii="Times New Roman" w:hAnsi="Times New Roman" w:eastAsia="仿宋" w:cs="Times New Roman"/>
          <w:color w:val="auto"/>
          <w:sz w:val="24"/>
          <w:szCs w:val="24"/>
          <w:highlight w:val="none"/>
          <w:lang w:val="en-US" w:eastAsia="zh-CN"/>
        </w:rPr>
        <w:t xml:space="preserve">中标</w:t>
      </w:r>
      <w:r>
        <w:rPr>
          <w:rFonts w:hint="default" w:ascii="Times New Roman" w:hAnsi="Times New Roman" w:eastAsia="仿宋" w:cs="Times New Roman"/>
          <w:color w:val="auto"/>
          <w:sz w:val="24"/>
          <w:szCs w:val="24"/>
          <w:highlight w:val="none"/>
        </w:rPr>
        <w:t xml:space="preserve">供应商及有关人员发生的违章、违法行为和存在的问题</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采购人有权进行教育、责成其限期整改。</w:t>
      </w:r>
      <w:r/>
    </w:p>
    <w:p>
      <w:pPr>
        <w:pStyle w:val="879"/>
        <w:numPr>
          <w:ilvl w:val="0"/>
          <w:numId w:val="0"/>
        </w:numPr>
        <w:keepLines w:val="0"/>
        <w:keepNext w:val="0"/>
        <w:pageBreakBefore w:val="0"/>
        <w:spacing w:line="360" w:lineRule="auto"/>
        <w:rPr>
          <w:rFonts w:hint="eastAsia" w:ascii="Times New Roman" w:hAnsi="Times New Roman" w:eastAsia="仿宋" w:cs="Times New Roman"/>
          <w:b/>
          <w:bCs/>
          <w:color w:val="auto"/>
          <w:sz w:val="24"/>
          <w:szCs w:val="24"/>
          <w:highlight w:val="none"/>
          <w:lang w:val="en-US" w:eastAsia="zh-CN"/>
        </w:rPr>
      </w:pPr>
      <w:r>
        <w:rPr>
          <w:rFonts w:hint="eastAsia" w:ascii="Times New Roman" w:eastAsia="仿宋" w:cs="Times New Roman"/>
          <w:b/>
          <w:bCs/>
          <w:color w:val="auto"/>
          <w:sz w:val="24"/>
          <w:szCs w:val="24"/>
          <w:highlight w:val="none"/>
          <w:lang w:val="en-US" w:eastAsia="zh-CN"/>
        </w:rPr>
        <w:t xml:space="preserve">八</w:t>
      </w:r>
      <w:r>
        <w:rPr>
          <w:rFonts w:hint="eastAsia" w:ascii="Times New Roman" w:hAnsi="Times New Roman" w:eastAsia="仿宋" w:cs="Times New Roman"/>
          <w:b/>
          <w:bCs/>
          <w:color w:val="auto"/>
          <w:sz w:val="24"/>
          <w:szCs w:val="24"/>
          <w:highlight w:val="none"/>
          <w:lang w:val="en-US" w:eastAsia="zh-CN"/>
        </w:rPr>
        <w:t xml:space="preserve">、合同款支付</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szCs w:val="24"/>
          <w:highlight w:val="none"/>
        </w:rPr>
        <w:t xml:space="preserve">安装结</w:t>
      </w:r>
      <w:r>
        <w:rPr>
          <w:rFonts w:hint="eastAsia" w:eastAsia="仿宋" w:cs="Times New Roman"/>
          <w:color w:val="auto"/>
          <w:sz w:val="24"/>
          <w:szCs w:val="24"/>
          <w:highlight w:val="none"/>
          <w:lang w:val="en-US" w:eastAsia="zh-CN"/>
        </w:rPr>
        <w:t xml:space="preserve">束</w:t>
      </w:r>
      <w:r>
        <w:rPr>
          <w:rFonts w:hint="default" w:ascii="Times New Roman" w:hAnsi="Times New Roman" w:eastAsia="仿宋" w:cs="Times New Roman"/>
          <w:color w:val="auto"/>
          <w:sz w:val="24"/>
          <w:szCs w:val="24"/>
          <w:highlight w:val="none"/>
        </w:rPr>
        <w:t xml:space="preserve">验收合格</w:t>
      </w:r>
      <w:r>
        <w:rPr>
          <w:rFonts w:hint="eastAsia" w:eastAsia="仿宋" w:cs="Times New Roman"/>
          <w:color w:val="auto"/>
          <w:sz w:val="24"/>
          <w:szCs w:val="24"/>
          <w:highlight w:val="none"/>
          <w:lang w:val="en-US" w:eastAsia="zh-CN"/>
        </w:rPr>
        <w:t xml:space="preserve">并审计完成后</w:t>
      </w:r>
      <w:r>
        <w:rPr>
          <w:rFonts w:hint="default" w:ascii="Times New Roman" w:hAnsi="Times New Roman" w:eastAsia="仿宋" w:cs="Times New Roman"/>
          <w:color w:val="auto"/>
          <w:sz w:val="24"/>
          <w:szCs w:val="24"/>
          <w:highlight w:val="none"/>
        </w:rPr>
        <w:t xml:space="preserve">甲方支付</w:t>
      </w:r>
      <w:r>
        <w:rPr>
          <w:rFonts w:hint="eastAsia" w:eastAsia="仿宋" w:cs="Times New Roman"/>
          <w:color w:val="auto"/>
          <w:sz w:val="24"/>
          <w:szCs w:val="24"/>
          <w:highlight w:val="none"/>
          <w:lang w:val="en-US" w:eastAsia="zh-CN"/>
        </w:rPr>
        <w:t xml:space="preserve">至审计价的97%</w:t>
      </w:r>
      <w:r>
        <w:rPr>
          <w:rFonts w:hint="eastAsia"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余款验收合格12个月后无息支付</w:t>
      </w:r>
      <w:r>
        <w:rPr>
          <w:rFonts w:hint="eastAsia"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highlight w:val="none"/>
        </w:rPr>
        <w:t xml:space="preserve"> </w:t>
      </w:r>
      <w:bookmarkEnd w:id="148"/>
      <w:bookmarkEnd w:id="149"/>
      <w:r/>
    </w:p>
    <w:p>
      <w:pPr>
        <w:ind w:firstLine="480"/>
        <w:spacing w:line="360" w:lineRule="auto"/>
        <w:rPr>
          <w:rFonts w:hint="default" w:ascii="Times New Roman" w:hAnsi="Times New Roman" w:eastAsia="仿宋" w:cs="Times New Roman"/>
          <w:color w:val="auto"/>
          <w:sz w:val="24"/>
          <w:szCs w:val="24"/>
          <w:highlight w:val="none"/>
          <w:u w:val="none"/>
        </w:rPr>
      </w:pPr>
      <w:r>
        <w:rPr>
          <w:rFonts w:hint="default" w:ascii="Times New Roman" w:hAnsi="Times New Roman" w:eastAsia="仿宋" w:cs="Times New Roman"/>
          <w:color w:val="auto"/>
          <w:sz w:val="24"/>
          <w:szCs w:val="24"/>
          <w:highlight w:val="none"/>
          <w:u w:val="none"/>
        </w:rPr>
        <w:t xml:space="preserve">采购人因资金拨付、审批流程等因素导致的付款迟延，成交供应商表示充分谅解，不作违约行为处理。</w:t>
      </w:r>
      <w:r/>
    </w:p>
    <w:p>
      <w:pPr>
        <w:spacing w:line="479" w:lineRule="atLeast"/>
        <w:rPr>
          <w:rFonts w:hint="default" w:ascii="Times New Roman" w:hAnsi="Times New Roman" w:eastAsia="仿宋" w:cs="Times New Roman"/>
          <w:color w:val="auto"/>
          <w:highlight w:val="none"/>
        </w:rPr>
        <w:pBdr>
          <w:top w:val="none" w:color="000000" w:sz="0" w:space="0"/>
          <w:left w:val="none" w:color="000000" w:sz="0" w:space="0"/>
          <w:bottom w:val="none" w:color="000000" w:sz="0" w:space="0"/>
          <w:right w:val="none" w:color="000000" w:sz="0" w:space="0"/>
        </w:pBdr>
        <w:sectPr>
          <w:footerReference w:type="default" r:id="rId12"/>
          <w:footnotePr/>
          <w:endnotePr>
            <w:numFmt w:val="decimal"/>
          </w:endnotePr>
          <w:type w:val="nextPage"/>
          <w:pgSz w:w="11906" w:h="16838" w:orient="portrait"/>
          <w:pgMar w:top="1417" w:right="1757" w:bottom="1417" w:left="1757" w:header="227" w:footer="1020" w:gutter="0"/>
          <w:cols w:num="1" w:sep="0" w:space="720" w:equalWidth="1"/>
          <w:docGrid w:linePitch="360"/>
        </w:sectPr>
      </w:pPr>
      <w:r>
        <w:rPr>
          <w:rFonts w:hint="default" w:ascii="Times New Roman" w:hAnsi="Times New Roman" w:eastAsia="仿宋" w:cs="Times New Roman"/>
          <w:color w:val="auto"/>
          <w:highlight w:val="none"/>
        </w:rPr>
      </w:r>
      <w:r/>
    </w:p>
    <w:p>
      <w:pPr>
        <w:pStyle w:val="817"/>
        <w:spacing w:line="360" w:lineRule="auto"/>
        <w:rPr>
          <w:rFonts w:hint="default" w:ascii="Times New Roman" w:hAnsi="Times New Roman" w:eastAsia="仿宋" w:cs="Times New Roman"/>
          <w:color w:val="auto"/>
          <w:szCs w:val="32"/>
          <w:highlight w:val="none"/>
        </w:rPr>
      </w:pPr>
      <w:r>
        <w:rPr>
          <w:rFonts w:hint="default" w:ascii="Times New Roman" w:hAnsi="Times New Roman" w:eastAsia="仿宋" w:cs="Times New Roman"/>
          <w:color w:val="auto"/>
          <w:szCs w:val="32"/>
          <w:highlight w:val="none"/>
        </w:rPr>
        <w:t xml:space="preserve"> </w:t>
      </w:r>
      <w:bookmarkStart w:id="153" w:name="_Toc13325"/>
      <w:r/>
      <w:bookmarkStart w:id="154" w:name="_Toc14306"/>
      <w:r/>
      <w:bookmarkStart w:id="155" w:name="_Toc28129"/>
      <w:r>
        <w:rPr>
          <w:rFonts w:hint="default" w:ascii="Times New Roman" w:hAnsi="Times New Roman" w:eastAsia="仿宋" w:cs="Times New Roman"/>
          <w:color w:val="auto"/>
          <w:szCs w:val="32"/>
          <w:highlight w:val="none"/>
        </w:rPr>
        <w:t xml:space="preserve">合同主要条款及格式</w:t>
      </w:r>
      <w:bookmarkEnd w:id="153"/>
      <w:r/>
      <w:bookmarkEnd w:id="154"/>
      <w:r/>
      <w:bookmarkEnd w:id="155"/>
      <w:r/>
      <w:r/>
    </w:p>
    <w:p>
      <w:pPr>
        <w:jc w:val="center"/>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pStyle w:val="87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1000" w:lineRule="exact"/>
        <w:rPr>
          <w:rFonts w:hint="default" w:ascii="Times New Roman" w:hAnsi="Times New Roman" w:eastAsia="仿宋" w:cs="Times New Roman"/>
          <w:bCs/>
          <w:color w:val="auto"/>
          <w:sz w:val="52"/>
          <w:szCs w:val="52"/>
          <w:highlight w:val="none"/>
        </w:rPr>
      </w:pPr>
      <w:r>
        <w:rPr>
          <w:rFonts w:hint="default" w:ascii="Times New Roman" w:hAnsi="Times New Roman" w:eastAsia="仿宋" w:cs="Times New Roman"/>
          <w:bCs/>
          <w:color w:val="auto"/>
          <w:sz w:val="52"/>
          <w:szCs w:val="52"/>
          <w:highlight w:val="none"/>
        </w:rPr>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t xml:space="preserve">南京市政府采购合同</w:t>
      </w:r>
      <w:r/>
    </w:p>
    <w:p>
      <w:pPr>
        <w:rPr>
          <w:rFonts w:hint="default" w:ascii="Times New Roman" w:hAnsi="Times New Roman" w:eastAsia="仿宋" w:cs="Times New Roman"/>
          <w:color w:val="auto"/>
          <w:sz w:val="44"/>
          <w:szCs w:val="44"/>
          <w:highlight w:val="none"/>
        </w:rPr>
      </w:pPr>
      <w:r>
        <w:rPr>
          <w:rFonts w:hint="default" w:ascii="Times New Roman" w:hAnsi="Times New Roman" w:eastAsia="仿宋" w:cs="Times New Roman"/>
          <w:color w:val="auto"/>
          <w:sz w:val="44"/>
          <w:szCs w:val="44"/>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合同编号:</w:t>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项目名称:</w:t>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使用单位:</w:t>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供货单位:</w:t>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签订日期:</w:t>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jc w:val="cente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南京市工商行政管理局</w:t>
      </w:r>
      <w:r/>
    </w:p>
    <w:p>
      <w:pPr>
        <w:jc w:val="cente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南京市财政局监制</w:t>
      </w:r>
      <w:r/>
    </w:p>
    <w:p>
      <w:pPr>
        <w:rPr>
          <w:rFonts w:hint="default" w:ascii="Times New Roman" w:hAnsi="Times New Roman" w:eastAsia="仿宋" w:cs="Times New Roman"/>
          <w:b/>
          <w:bCs/>
          <w:color w:val="auto"/>
          <w:sz w:val="72"/>
          <w:szCs w:val="72"/>
          <w:highlight w:val="none"/>
        </w:rPr>
      </w:pPr>
      <w:r>
        <w:rPr>
          <w:rFonts w:hint="default" w:ascii="Times New Roman" w:hAnsi="Times New Roman" w:eastAsia="仿宋" w:cs="Times New Roman"/>
          <w:b/>
          <w:bCs/>
          <w:color w:val="auto"/>
          <w:sz w:val="72"/>
          <w:szCs w:val="72"/>
          <w:highlight w:val="none"/>
        </w:rPr>
        <w:br w:type="page" w:clear="all"/>
      </w:r>
      <w:r/>
    </w:p>
    <w:p>
      <w:pPr>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采购人：（以下简称甲方） </w:t>
      </w:r>
      <w:r/>
    </w:p>
    <w:p>
      <w:pPr>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住所地： </w:t>
      </w:r>
      <w:r/>
    </w:p>
    <w:p>
      <w:pPr>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供应商：（以下简称乙方） </w:t>
      </w:r>
      <w:r/>
    </w:p>
    <w:p>
      <w:pPr>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住所地：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根据《中华人民共和国政府采购法》《中华人民共和国</w:t>
      </w:r>
      <w:r>
        <w:rPr>
          <w:rFonts w:hint="default" w:ascii="Times New Roman" w:hAnsi="Times New Roman" w:eastAsia="仿宋" w:cs="Times New Roman"/>
          <w:color w:val="auto"/>
          <w:sz w:val="24"/>
          <w:szCs w:val="24"/>
          <w:highlight w:val="none"/>
          <w:lang w:val="en-US" w:eastAsia="zh-CN" w:bidi="ar"/>
        </w:rPr>
        <w:t xml:space="preserve">民法典</w:t>
      </w:r>
      <w:r>
        <w:rPr>
          <w:rFonts w:hint="default" w:ascii="Times New Roman" w:hAnsi="Times New Roman" w:eastAsia="仿宋" w:cs="Times New Roman"/>
          <w:color w:val="auto"/>
          <w:sz w:val="24"/>
          <w:szCs w:val="24"/>
          <w:highlight w:val="none"/>
          <w:lang w:bidi="ar"/>
        </w:rPr>
        <w:t xml:space="preserve">》等法律法规规定，甲乙双方经协商签订本合同。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bidi="ar"/>
        </w:rPr>
        <w:t xml:space="preserve">第一条 合同标的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乙方根据甲方需求提供下列货物：</w:t>
      </w:r>
      <w:r>
        <w:rPr>
          <w:rFonts w:hint="default" w:ascii="Times New Roman" w:hAnsi="Times New Roman" w:eastAsia="仿宋" w:cs="Times New Roman"/>
          <w:color w:val="auto"/>
          <w:sz w:val="24"/>
          <w:szCs w:val="24"/>
          <w:highlight w:val="none"/>
          <w:u w:val="single"/>
          <w:lang w:bidi="ar"/>
        </w:rPr>
        <w:t xml:space="preserve"> </w:t>
      </w:r>
      <w:r>
        <w:rPr>
          <w:rFonts w:hint="default" w:ascii="Times New Roman" w:hAnsi="Times New Roman" w:eastAsia="仿宋" w:cs="Times New Roman"/>
          <w:color w:val="auto"/>
          <w:sz w:val="24"/>
          <w:szCs w:val="24"/>
          <w:highlight w:val="none"/>
          <w:lang w:bidi="ar"/>
        </w:rPr>
        <w:t xml:space="preserve">货物名称、规格及数量详见乙方</w:t>
      </w:r>
      <w:r>
        <w:rPr>
          <w:rFonts w:hint="eastAsia" w:eastAsia="仿宋" w:cs="Times New Roman"/>
          <w:color w:val="auto"/>
          <w:sz w:val="24"/>
          <w:szCs w:val="24"/>
          <w:highlight w:val="none"/>
          <w:lang w:val="en-US" w:eastAsia="zh-CN" w:bidi="ar"/>
        </w:rPr>
        <w:t xml:space="preserve">投标</w:t>
      </w:r>
      <w:r>
        <w:rPr>
          <w:rFonts w:hint="default" w:ascii="Times New Roman" w:hAnsi="Times New Roman" w:eastAsia="仿宋" w:cs="Times New Roman"/>
          <w:color w:val="auto"/>
          <w:sz w:val="24"/>
          <w:szCs w:val="24"/>
          <w:highlight w:val="none"/>
          <w:lang w:bidi="ar"/>
        </w:rPr>
        <w:t xml:space="preserve">文件。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第二条 合同价款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本合同项下货物价款</w:t>
      </w:r>
      <w:r>
        <w:rPr>
          <w:rFonts w:hint="eastAsia" w:eastAsia="仿宋" w:cs="Times New Roman"/>
          <w:color w:val="auto"/>
          <w:sz w:val="24"/>
          <w:szCs w:val="24"/>
          <w:highlight w:val="none"/>
          <w:lang w:val="en-US" w:eastAsia="zh-CN" w:bidi="ar"/>
        </w:rPr>
        <w:t xml:space="preserve">合计</w:t>
      </w:r>
      <w:r>
        <w:rPr>
          <w:rFonts w:hint="default" w:ascii="Times New Roman" w:hAnsi="Times New Roman" w:eastAsia="仿宋" w:cs="Times New Roman"/>
          <w:color w:val="auto"/>
          <w:sz w:val="24"/>
          <w:szCs w:val="24"/>
          <w:highlight w:val="none"/>
          <w:lang w:bidi="ar"/>
        </w:rPr>
        <w:t xml:space="preserve">为（大写</w:t>
      </w:r>
      <w:r>
        <w:rPr>
          <w:rFonts w:hint="eastAsia" w:ascii="Times New Roman" w:hAnsi="Times New Roman" w:eastAsia="仿宋" w:cs="Times New Roman"/>
          <w:color w:val="auto"/>
          <w:sz w:val="24"/>
          <w:szCs w:val="24"/>
          <w:highlight w:val="none"/>
          <w:lang w:eastAsia="zh-CN" w:bidi="ar"/>
        </w:rPr>
        <w:t xml:space="preserve">）</w:t>
      </w:r>
      <w:r>
        <w:rPr>
          <w:rFonts w:hint="eastAsia" w:ascii="Times New Roman" w:hAnsi="Times New Roman" w:eastAsia="仿宋" w:cs="Times New Roman"/>
          <w:color w:val="auto"/>
          <w:sz w:val="24"/>
          <w:szCs w:val="24"/>
          <w:highlight w:val="none"/>
          <w:u w:val="single"/>
          <w:lang w:val="en-US" w:eastAsia="zh-CN" w:bidi="ar"/>
        </w:rPr>
        <w:t xml:space="preserve">   </w:t>
      </w:r>
      <w:r>
        <w:rPr>
          <w:rFonts w:hint="default" w:ascii="Times New Roman" w:hAnsi="Times New Roman" w:eastAsia="仿宋" w:cs="Times New Roman"/>
          <w:color w:val="auto"/>
          <w:sz w:val="24"/>
          <w:szCs w:val="24"/>
          <w:highlight w:val="none"/>
          <w:lang w:bidi="ar"/>
        </w:rPr>
        <w:t xml:space="preserve">人民币，分项价款详见 《报价表》。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本合同总价款包含以下内容：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（1）货物设计、制造、包装、仓储、运输、装缷、保险、安装、调试及其材料；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（2）验收合格之前保管及保修期内备品备件、专用工具、伴随服务、技术图纸资料、人员培训发生的所有含税费用；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（3）支付给员工的工资和国家强制缴纳的各种社会保障资金；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（4）乙方应当提供的伴随服务/售后服务费用；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（5）供应商认为需要的其他费用。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bidi="ar"/>
        </w:rPr>
        <w:t xml:space="preserve">第三条 合同期限 </w:t>
      </w:r>
      <w:r/>
    </w:p>
    <w:p>
      <w:pPr>
        <w:ind w:left="0"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eastAsia="仿宋" w:cs="Times New Roman"/>
          <w:bCs/>
          <w:color w:val="auto"/>
          <w:sz w:val="24"/>
          <w:highlight w:val="none"/>
          <w:lang w:val="en-US" w:eastAsia="zh-CN"/>
        </w:rPr>
        <w:t xml:space="preserve">合同签订</w:t>
      </w:r>
      <w:r>
        <w:rPr>
          <w:rFonts w:hint="eastAsia" w:eastAsia="仿宋" w:cs="Times New Roman"/>
          <w:bCs/>
          <w:color w:val="auto"/>
          <w:sz w:val="24"/>
          <w:highlight w:val="none"/>
          <w:u w:val="single"/>
          <w:lang w:val="en-US" w:eastAsia="zh-CN"/>
        </w:rPr>
        <w:t xml:space="preserve">90</w:t>
      </w:r>
      <w:r>
        <w:rPr>
          <w:rFonts w:hint="default" w:ascii="Times New Roman" w:hAnsi="Times New Roman" w:eastAsia="仿宋" w:cs="Times New Roman"/>
          <w:bCs/>
          <w:color w:val="auto"/>
          <w:sz w:val="24"/>
          <w:highlight w:val="none"/>
        </w:rPr>
        <w:t xml:space="preserve">天内交付并完成安装调试及验收</w:t>
      </w:r>
      <w:r>
        <w:rPr>
          <w:rFonts w:hint="eastAsia" w:ascii="Times New Roman" w:hAnsi="Times New Roman" w:eastAsia="仿宋" w:cs="Times New Roman"/>
          <w:bCs/>
          <w:color w:val="auto"/>
          <w:sz w:val="24"/>
          <w:highlight w:val="none"/>
          <w:lang w:eastAsia="zh-CN"/>
        </w:rPr>
        <w:t xml:space="preserve">；</w:t>
      </w:r>
      <w:r>
        <w:rPr>
          <w:rFonts w:hint="eastAsia" w:eastAsia="仿宋" w:cs="Times New Roman"/>
          <w:bCs/>
          <w:color w:val="auto"/>
          <w:sz w:val="24"/>
          <w:highlight w:val="none"/>
          <w:lang w:val="en-US" w:eastAsia="zh-CN"/>
        </w:rPr>
        <w:t xml:space="preserve">发</w:t>
      </w:r>
      <w:r>
        <w:rPr>
          <w:rFonts w:hint="eastAsia" w:eastAsia="仿宋" w:cs="Times New Roman"/>
          <w:color w:val="auto"/>
          <w:sz w:val="24"/>
          <w:szCs w:val="24"/>
          <w:highlight w:val="none"/>
          <w:lang w:val="en-US" w:eastAsia="zh-CN" w:bidi="ar"/>
        </w:rPr>
        <w:t xml:space="preserve">电机组整机保修</w:t>
      </w:r>
      <w:r>
        <w:rPr>
          <w:rFonts w:hint="default" w:ascii="Times New Roman" w:hAnsi="Times New Roman" w:eastAsia="仿宋" w:cs="Times New Roman"/>
          <w:color w:val="auto"/>
          <w:sz w:val="24"/>
          <w:szCs w:val="24"/>
          <w:highlight w:val="none"/>
          <w:lang w:bidi="ar"/>
        </w:rPr>
        <w:t xml:space="preserve">期</w:t>
      </w:r>
      <w:r>
        <w:rPr>
          <w:rFonts w:hint="eastAsia" w:eastAsia="仿宋" w:cs="Times New Roman"/>
          <w:color w:val="auto"/>
          <w:sz w:val="24"/>
          <w:szCs w:val="24"/>
          <w:highlight w:val="none"/>
          <w:lang w:val="en-US" w:eastAsia="zh-CN" w:bidi="ar"/>
        </w:rPr>
        <w:t xml:space="preserve">为</w:t>
      </w:r>
      <w:r>
        <w:rPr>
          <w:rFonts w:hint="default" w:ascii="Times New Roman" w:hAnsi="Times New Roman" w:eastAsia="仿宋" w:cs="Times New Roman"/>
          <w:color w:val="auto"/>
          <w:sz w:val="24"/>
          <w:szCs w:val="24"/>
          <w:highlight w:val="none"/>
          <w:lang w:bidi="ar"/>
        </w:rPr>
        <w:t xml:space="preserve">竣工验收合格</w:t>
      </w:r>
      <w:r>
        <w:rPr>
          <w:rFonts w:hint="eastAsia" w:eastAsia="仿宋" w:cs="Times New Roman"/>
          <w:color w:val="auto"/>
          <w:sz w:val="24"/>
          <w:szCs w:val="24"/>
          <w:highlight w:val="none"/>
          <w:lang w:val="en-US" w:eastAsia="zh-CN" w:bidi="ar"/>
        </w:rPr>
        <w:t xml:space="preserve">之日起算12个月。</w:t>
      </w:r>
      <w:r>
        <w:rPr>
          <w:rFonts w:hint="default" w:ascii="Times New Roman" w:hAnsi="Times New Roman" w:eastAsia="仿宋" w:cs="Times New Roman"/>
          <w:color w:val="auto"/>
          <w:sz w:val="24"/>
          <w:szCs w:val="24"/>
          <w:highlight w:val="none"/>
          <w:lang w:bidi="ar"/>
        </w:rPr>
        <w:t xml:space="preserve">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bidi="ar"/>
        </w:rPr>
        <w:t xml:space="preserve">第四条 组成本合同的有关文件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下列关于南京市政府采购 </w:t>
      </w:r>
      <w:r>
        <w:rPr>
          <w:rFonts w:hint="eastAsia" w:ascii="Times New Roman" w:hAnsi="Times New Roman" w:eastAsia="仿宋" w:cs="Times New Roman"/>
          <w:color w:val="auto"/>
          <w:sz w:val="24"/>
          <w:szCs w:val="24"/>
          <w:highlight w:val="none"/>
          <w:u w:val="single"/>
          <w:lang w:val="en-US" w:eastAsia="zh-CN" w:bidi="ar"/>
        </w:rPr>
        <w:t xml:space="preserve">    </w:t>
      </w:r>
      <w:r>
        <w:rPr>
          <w:rFonts w:hint="default" w:ascii="Times New Roman" w:hAnsi="Times New Roman" w:eastAsia="仿宋" w:cs="Times New Roman"/>
          <w:color w:val="auto"/>
          <w:sz w:val="24"/>
          <w:szCs w:val="24"/>
          <w:highlight w:val="none"/>
          <w:u w:val="single"/>
          <w:lang w:bidi="ar"/>
        </w:rPr>
        <w:t xml:space="preserve"> </w:t>
      </w:r>
      <w:r>
        <w:rPr>
          <w:rFonts w:hint="default" w:ascii="Times New Roman" w:hAnsi="Times New Roman" w:eastAsia="仿宋" w:cs="Times New Roman"/>
          <w:color w:val="auto"/>
          <w:sz w:val="24"/>
          <w:szCs w:val="24"/>
          <w:highlight w:val="none"/>
          <w:lang w:bidi="ar"/>
        </w:rPr>
        <w:t xml:space="preserve">号的采购文件、</w:t>
      </w:r>
      <w:r>
        <w:rPr>
          <w:rFonts w:hint="eastAsia" w:eastAsia="仿宋" w:cs="Times New Roman"/>
          <w:color w:val="auto"/>
          <w:sz w:val="24"/>
          <w:szCs w:val="24"/>
          <w:highlight w:val="none"/>
          <w:lang w:val="en-US" w:eastAsia="zh-CN" w:bidi="ar"/>
        </w:rPr>
        <w:t xml:space="preserve">投标</w:t>
      </w:r>
      <w:r>
        <w:rPr>
          <w:rFonts w:hint="default" w:ascii="Times New Roman" w:hAnsi="Times New Roman" w:eastAsia="仿宋" w:cs="Times New Roman"/>
          <w:color w:val="auto"/>
          <w:sz w:val="24"/>
          <w:szCs w:val="24"/>
          <w:highlight w:val="none"/>
          <w:lang w:bidi="ar"/>
        </w:rPr>
        <w:t xml:space="preserve">文件，以及与本次采购活动相关的文件及有关附件是本合同不可分割的组成部分，与本合同具有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同等法律效力，这些文件包括但不限于：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w:t>
      </w:r>
      <w:r>
        <w:rPr>
          <w:rFonts w:hint="eastAsia" w:eastAsia="仿宋" w:cs="Times New Roman"/>
          <w:color w:val="auto"/>
          <w:sz w:val="24"/>
          <w:szCs w:val="24"/>
          <w:highlight w:val="none"/>
          <w:lang w:val="en-US" w:eastAsia="zh-CN" w:bidi="ar"/>
        </w:rPr>
        <w:t xml:space="preserve">投标</w:t>
      </w:r>
      <w:r>
        <w:rPr>
          <w:rFonts w:hint="default" w:ascii="Times New Roman" w:hAnsi="Times New Roman" w:eastAsia="仿宋" w:cs="Times New Roman"/>
          <w:color w:val="auto"/>
          <w:sz w:val="24"/>
          <w:szCs w:val="24"/>
          <w:highlight w:val="none"/>
          <w:lang w:bidi="ar"/>
        </w:rPr>
        <w:t xml:space="preserve">文件和报价表；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（2）供货一览表；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（3）交货一览表；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（4）技术规格响应表；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（5）投标（响应）承诺；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（6）服务承诺；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（7）中标（成交）通知书；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（8）甲乙双方商定的其它文件。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第五条 权利保证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乙方应保证甲方在使用该货物或其任何一部分时不受第三方提出侵犯其专利权、版权、商标权或其他权利的起诉。一旦出现侵权，乙方应承担全部责任。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第六条 质量保证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1.乙方所提供的货物的技术规格应与采购文件规定的技术规格及所附的“技术规格响应表”相一致；若技术性能无特殊说明，则按国家有关部门最新颁布的标准及规范为准。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第七条 包装要求</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2.每一包装单元内应附详细的装箱单和质量合格凭证。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第八条 交货和验收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1.乙方应当在合同签订后 </w:t>
      </w:r>
      <w:r>
        <w:rPr>
          <w:rFonts w:hint="eastAsia" w:eastAsia="仿宋" w:cs="Times New Roman"/>
          <w:color w:val="auto"/>
          <w:sz w:val="24"/>
          <w:szCs w:val="24"/>
          <w:highlight w:val="none"/>
          <w:u w:val="single"/>
          <w:lang w:val="en-US" w:eastAsia="zh-CN" w:bidi="ar"/>
        </w:rPr>
        <w:t xml:space="preserve">90</w:t>
      </w:r>
      <w:r>
        <w:rPr>
          <w:rFonts w:hint="default" w:ascii="Times New Roman" w:hAnsi="Times New Roman" w:eastAsia="仿宋" w:cs="Times New Roman"/>
          <w:color w:val="auto"/>
          <w:sz w:val="24"/>
          <w:szCs w:val="24"/>
          <w:highlight w:val="none"/>
          <w:u w:val="single"/>
          <w:lang w:bidi="ar"/>
        </w:rPr>
        <w:t xml:space="preserve"> </w:t>
      </w:r>
      <w:r>
        <w:rPr>
          <w:rFonts w:hint="default" w:ascii="Times New Roman" w:hAnsi="Times New Roman" w:eastAsia="仿宋" w:cs="Times New Roman"/>
          <w:color w:val="auto"/>
          <w:sz w:val="24"/>
          <w:szCs w:val="24"/>
          <w:highlight w:val="none"/>
          <w:lang w:bidi="ar"/>
        </w:rPr>
        <w:t xml:space="preserve">天内将货物安装调试完毕交付甲方正常使用，地点由甲方指定。采购文件有约定的，从其约定。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2.乙方交付的货物应当完全符合本合同或者采购文件规定、</w:t>
      </w:r>
      <w:r>
        <w:rPr>
          <w:rFonts w:hint="eastAsia" w:eastAsia="仿宋" w:cs="Times New Roman"/>
          <w:color w:val="auto"/>
          <w:sz w:val="24"/>
          <w:szCs w:val="24"/>
          <w:highlight w:val="none"/>
          <w:lang w:val="en-US" w:eastAsia="zh-CN" w:bidi="ar"/>
        </w:rPr>
        <w:t xml:space="preserve">投标</w:t>
      </w:r>
      <w:r>
        <w:rPr>
          <w:rFonts w:hint="default" w:ascii="Times New Roman" w:hAnsi="Times New Roman" w:eastAsia="仿宋" w:cs="Times New Roman"/>
          <w:color w:val="auto"/>
          <w:sz w:val="24"/>
          <w:szCs w:val="24"/>
          <w:highlight w:val="none"/>
          <w:lang w:bidi="ar"/>
        </w:rPr>
        <w:t xml:space="preserve">文件所承诺的数量和规格要求。乙方提供的货物不符合采购文件、</w:t>
      </w:r>
      <w:r>
        <w:rPr>
          <w:rFonts w:hint="eastAsia" w:eastAsia="仿宋" w:cs="Times New Roman"/>
          <w:color w:val="auto"/>
          <w:sz w:val="24"/>
          <w:szCs w:val="24"/>
          <w:highlight w:val="none"/>
          <w:lang w:val="en-US" w:eastAsia="zh-CN" w:bidi="ar"/>
        </w:rPr>
        <w:t xml:space="preserve">投标</w:t>
      </w:r>
      <w:r>
        <w:rPr>
          <w:rFonts w:hint="default" w:ascii="Times New Roman" w:hAnsi="Times New Roman" w:eastAsia="仿宋" w:cs="Times New Roman"/>
          <w:color w:val="auto"/>
          <w:sz w:val="24"/>
          <w:szCs w:val="24"/>
          <w:highlight w:val="none"/>
          <w:lang w:bidi="ar"/>
        </w:rPr>
        <w:t xml:space="preserve">文件和合同规定的，甲方有权拒收货物，由此引起的风险，由乙方承担。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3.货物的到货验收包括：型号、规格、数量、外观质量及货物包装是否完好。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5.货物和系统调试验收的标准：按行业通行标准、厂方出厂标准和乙方</w:t>
      </w:r>
      <w:r>
        <w:rPr>
          <w:rFonts w:hint="eastAsia" w:eastAsia="仿宋" w:cs="Times New Roman"/>
          <w:color w:val="auto"/>
          <w:sz w:val="24"/>
          <w:szCs w:val="24"/>
          <w:highlight w:val="none"/>
          <w:lang w:val="en-US" w:eastAsia="zh-CN" w:bidi="ar"/>
        </w:rPr>
        <w:t xml:space="preserve">投标</w:t>
      </w:r>
      <w:r>
        <w:rPr>
          <w:rFonts w:hint="default" w:ascii="Times New Roman" w:hAnsi="Times New Roman" w:eastAsia="仿宋" w:cs="Times New Roman"/>
          <w:color w:val="auto"/>
          <w:sz w:val="24"/>
          <w:szCs w:val="24"/>
          <w:highlight w:val="none"/>
          <w:lang w:bidi="ar"/>
        </w:rPr>
        <w:t xml:space="preserve">文件的承诺（不低于国家相关标准）。 </w:t>
      </w:r>
      <w:r/>
    </w:p>
    <w:p>
      <w:pPr>
        <w:ind w:firstLine="482"/>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lang w:bidi="ar"/>
        </w:rPr>
        <w:t xml:space="preserve">第九条 伴随服务／售后服务</w:t>
      </w:r>
      <w:r>
        <w:rPr>
          <w:rFonts w:hint="default" w:ascii="Times New Roman" w:hAnsi="Times New Roman" w:eastAsia="仿宋" w:cs="Times New Roman"/>
          <w:color w:val="auto"/>
          <w:sz w:val="24"/>
          <w:szCs w:val="24"/>
          <w:highlight w:val="none"/>
          <w:lang w:bidi="ar"/>
        </w:rPr>
        <w:t xml:space="preserve">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1.乙方应按照国家有关法律法规规章和“三包”规定，以及合同所附的“服务承诺”提供服务。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2.除前款规定外，乙方还应提供下列服务：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（1）货物的现场安装、调试和/或启动监督；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（2）就货物的安装、启动、运行及维护等对甲方人员进行免费培训。 </w:t>
      </w:r>
      <w:r/>
    </w:p>
    <w:p>
      <w:pPr>
        <w:ind w:left="0" w:firstLine="480"/>
        <w:jc w:val="left"/>
        <w:keepLines w:val="0"/>
        <w:keepNext w:val="0"/>
        <w:pageBreakBefore w:val="0"/>
        <w:spacing w:line="360" w:lineRule="auto"/>
        <w:widowControl/>
        <w:rPr>
          <w:rFonts w:hint="eastAsia" w:ascii="Times New Roman" w:hAnsi="Times New Roman" w:eastAsia="仿宋" w:cs="Times New Roman"/>
          <w:color w:val="auto"/>
          <w:sz w:val="24"/>
          <w:szCs w:val="24"/>
          <w:highlight w:val="none"/>
          <w:lang w:eastAsia="zh-CN" w:bidi="ar"/>
        </w:rPr>
      </w:pPr>
      <w:r>
        <w:rPr>
          <w:rFonts w:hint="default" w:ascii="Times New Roman" w:hAnsi="Times New Roman" w:eastAsia="仿宋" w:cs="Times New Roman"/>
          <w:color w:val="auto"/>
          <w:sz w:val="24"/>
          <w:szCs w:val="24"/>
          <w:highlight w:val="none"/>
          <w:lang w:bidi="ar"/>
        </w:rPr>
        <w:t xml:space="preserve">3.若采购文件中不包含有关伴随服务或售后服务的承诺，双方作如下约定：</w:t>
      </w:r>
      <w:r/>
    </w:p>
    <w:p>
      <w:pPr>
        <w:ind w:left="0"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bidi="ar"/>
        </w:rPr>
        <w:t xml:space="preserve">（</w:t>
      </w:r>
      <w:r>
        <w:rPr>
          <w:rFonts w:hint="default" w:ascii="Times New Roman" w:hAnsi="Times New Roman" w:eastAsia="仿宋" w:cs="Times New Roman"/>
          <w:color w:val="auto"/>
          <w:sz w:val="24"/>
          <w:szCs w:val="24"/>
          <w:highlight w:val="none"/>
          <w:lang w:bidi="ar"/>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（2）所购货物按乙方响应承诺提供免费维护和质量保证，保修费用计入总价；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（3）保修期内，乙方负责对其提供的货物整机进行维修和系统维护，不再收取任何费用，但不可抗力（如火灾、雷击等）造成的故障除外；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（4）货物故障报修的响应时间按乙方响应承诺执行；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（5）若货物故障在检修8小时后仍无法排除，乙方应在48小时内免费提供不低于故障货物规格型号档次的备用货物供甲方使用，直至故障修复；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（6）所有货物保修服务方式均为乙方上门保修，即由乙方派员到货物使用现场维修，由此产生的一切费用均由乙方承担；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（7）保修期后的货物维护由双方商定。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第十条 合同款支付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1.本合同项下所有款项均以人民币支付。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2.本合同项下的采购资金由乙方开具发票，甲方按照本条第3款的约定支付。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lang w:bidi="ar"/>
        </w:rPr>
      </w:pPr>
      <w:r>
        <w:rPr>
          <w:rFonts w:hint="default" w:ascii="Times New Roman" w:hAnsi="Times New Roman" w:eastAsia="仿宋" w:cs="Times New Roman"/>
          <w:color w:val="auto"/>
          <w:sz w:val="24"/>
          <w:szCs w:val="24"/>
          <w:highlight w:val="none"/>
          <w:lang w:bidi="ar"/>
        </w:rPr>
        <w:t xml:space="preserve">3.付款条件： </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szCs w:val="24"/>
          <w:highlight w:val="none"/>
        </w:rPr>
        <w:t xml:space="preserve">安装结</w:t>
      </w:r>
      <w:r>
        <w:rPr>
          <w:rFonts w:hint="eastAsia" w:eastAsia="仿宋" w:cs="Times New Roman"/>
          <w:color w:val="auto"/>
          <w:sz w:val="24"/>
          <w:szCs w:val="24"/>
          <w:highlight w:val="none"/>
          <w:lang w:val="en-US" w:eastAsia="zh-CN"/>
        </w:rPr>
        <w:t xml:space="preserve">束</w:t>
      </w:r>
      <w:r>
        <w:rPr>
          <w:rFonts w:hint="default" w:ascii="Times New Roman" w:hAnsi="Times New Roman" w:eastAsia="仿宋" w:cs="Times New Roman"/>
          <w:color w:val="auto"/>
          <w:sz w:val="24"/>
          <w:szCs w:val="24"/>
          <w:highlight w:val="none"/>
        </w:rPr>
        <w:t xml:space="preserve">验收合格</w:t>
      </w:r>
      <w:r>
        <w:rPr>
          <w:rFonts w:hint="eastAsia" w:eastAsia="仿宋" w:cs="Times New Roman"/>
          <w:color w:val="auto"/>
          <w:sz w:val="24"/>
          <w:szCs w:val="24"/>
          <w:highlight w:val="none"/>
          <w:lang w:val="en-US" w:eastAsia="zh-CN"/>
        </w:rPr>
        <w:t xml:space="preserve">并审计完成后</w:t>
      </w:r>
      <w:r>
        <w:rPr>
          <w:rFonts w:hint="default" w:ascii="Times New Roman" w:hAnsi="Times New Roman" w:eastAsia="仿宋" w:cs="Times New Roman"/>
          <w:color w:val="auto"/>
          <w:sz w:val="24"/>
          <w:szCs w:val="24"/>
          <w:highlight w:val="none"/>
        </w:rPr>
        <w:t xml:space="preserve">甲方支付</w:t>
      </w:r>
      <w:r>
        <w:rPr>
          <w:rFonts w:hint="eastAsia" w:eastAsia="仿宋" w:cs="Times New Roman"/>
          <w:color w:val="auto"/>
          <w:sz w:val="24"/>
          <w:szCs w:val="24"/>
          <w:highlight w:val="none"/>
          <w:lang w:val="en-US" w:eastAsia="zh-CN"/>
        </w:rPr>
        <w:t xml:space="preserve">至审计价的97%</w:t>
      </w:r>
      <w:r>
        <w:rPr>
          <w:rFonts w:hint="eastAsia"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余款验收合格12个月后无息支付</w:t>
      </w:r>
      <w:r>
        <w:rPr>
          <w:rFonts w:hint="eastAsia"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highlight w:val="none"/>
        </w:rPr>
        <w:t xml:space="preserve"> </w:t>
      </w:r>
      <w:r/>
    </w:p>
    <w:p>
      <w:pPr>
        <w:ind w:firstLine="480"/>
        <w:jc w:val="left"/>
        <w:spacing w:line="360" w:lineRule="auto"/>
        <w:rPr>
          <w:rStyle w:val="1208"/>
          <w:rFonts w:ascii="Times New Roman" w:hAnsi="Times New Roman" w:eastAsia="仿宋"/>
          <w:color w:val="auto"/>
          <w:sz w:val="24"/>
          <w:highlight w:val="none"/>
          <w:lang w:val="zh-CN"/>
        </w:rPr>
      </w:pPr>
      <w:r>
        <w:rPr>
          <w:rFonts w:eastAsia="仿宋"/>
          <w:color w:val="auto"/>
          <w:sz w:val="24"/>
          <w:highlight w:val="none"/>
        </w:rPr>
        <w:t xml:space="preserve">甲方付款前，乙方需先行提供符合法律规定的等额发票，否则甲方有权延迟付款。</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第十</w:t>
      </w:r>
      <w:r>
        <w:rPr>
          <w:rFonts w:hint="eastAsia" w:ascii="Times New Roman" w:hAnsi="Times New Roman" w:eastAsia="仿宋" w:cs="Times New Roman"/>
          <w:b/>
          <w:bCs/>
          <w:color w:val="auto"/>
          <w:sz w:val="24"/>
          <w:szCs w:val="24"/>
          <w:highlight w:val="none"/>
          <w:lang w:val="en-US" w:eastAsia="zh-CN" w:bidi="ar"/>
        </w:rPr>
        <w:t xml:space="preserve">一</w:t>
      </w:r>
      <w:r>
        <w:rPr>
          <w:rFonts w:hint="default" w:ascii="Times New Roman" w:hAnsi="Times New Roman" w:eastAsia="仿宋" w:cs="Times New Roman"/>
          <w:b/>
          <w:bCs/>
          <w:color w:val="auto"/>
          <w:sz w:val="24"/>
          <w:szCs w:val="24"/>
          <w:highlight w:val="none"/>
          <w:lang w:bidi="ar"/>
        </w:rPr>
        <w:t xml:space="preserve">条 违约责任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lang w:bidi="ar"/>
        </w:rPr>
      </w:pPr>
      <w:r>
        <w:rPr>
          <w:rFonts w:hint="default" w:ascii="Times New Roman" w:hAnsi="Times New Roman" w:eastAsia="仿宋" w:cs="Times New Roman"/>
          <w:color w:val="auto"/>
          <w:sz w:val="24"/>
          <w:szCs w:val="24"/>
          <w:highlight w:val="none"/>
          <w:lang w:bidi="ar"/>
        </w:rPr>
        <w:t xml:space="preserve">1.甲方无正当理由拒收货物、拒付货物款的，由甲方向乙方偿付合同总价的10%违约金</w:t>
      </w:r>
      <w:r>
        <w:rPr>
          <w:rFonts w:hint="eastAsia" w:eastAsia="仿宋" w:cs="Times New Roman"/>
          <w:color w:val="auto"/>
          <w:sz w:val="24"/>
          <w:szCs w:val="24"/>
          <w:highlight w:val="none"/>
          <w:lang w:eastAsia="zh-CN" w:bidi="ar"/>
        </w:rPr>
        <w:t xml:space="preserve">。</w:t>
      </w:r>
      <w:r>
        <w:rPr>
          <w:rFonts w:hint="default" w:ascii="Times New Roman" w:hAnsi="Times New Roman" w:eastAsia="仿宋" w:cs="Times New Roman"/>
          <w:color w:val="auto"/>
          <w:sz w:val="24"/>
          <w:szCs w:val="24"/>
          <w:highlight w:val="none"/>
          <w:lang w:bidi="ar"/>
        </w:rPr>
        <w:t xml:space="preserve"> </w:t>
      </w:r>
      <w:r/>
    </w:p>
    <w:p>
      <w:pPr>
        <w:ind w:firstLine="480"/>
        <w:spacing w:line="360" w:lineRule="auto"/>
        <w:rPr>
          <w:rFonts w:hint="default" w:ascii="Times New Roman" w:hAnsi="Times New Roman" w:eastAsia="仿宋" w:cs="Times New Roman"/>
          <w:color w:val="auto"/>
          <w:sz w:val="24"/>
          <w:szCs w:val="24"/>
          <w:highlight w:val="none"/>
          <w:u w:val="none"/>
        </w:rPr>
      </w:pPr>
      <w:r>
        <w:rPr>
          <w:rFonts w:hint="default" w:ascii="Times New Roman" w:hAnsi="Times New Roman" w:eastAsia="仿宋" w:cs="Times New Roman"/>
          <w:color w:val="auto"/>
          <w:sz w:val="24"/>
          <w:szCs w:val="24"/>
          <w:highlight w:val="none"/>
          <w:lang w:bidi="ar"/>
        </w:rPr>
        <w:t xml:space="preserve">2.</w:t>
      </w:r>
      <w:r>
        <w:rPr>
          <w:rFonts w:hint="eastAsia" w:eastAsia="仿宋" w:cs="Times New Roman"/>
          <w:color w:val="auto"/>
          <w:sz w:val="24"/>
          <w:szCs w:val="24"/>
          <w:highlight w:val="none"/>
          <w:lang w:val="en-US" w:eastAsia="zh-CN" w:bidi="ar"/>
        </w:rPr>
        <w:t xml:space="preserve">因</w:t>
      </w:r>
      <w:r>
        <w:rPr>
          <w:rFonts w:hint="eastAsia" w:ascii="Times New Roman" w:hAnsi="Times New Roman" w:eastAsia="仿宋" w:cs="Times New Roman"/>
          <w:color w:val="auto"/>
          <w:sz w:val="24"/>
          <w:szCs w:val="24"/>
          <w:highlight w:val="none"/>
          <w:u w:val="none"/>
          <w:lang w:val="en-US" w:eastAsia="zh-CN"/>
        </w:rPr>
        <w:t xml:space="preserve">甲方</w:t>
      </w:r>
      <w:r>
        <w:rPr>
          <w:rFonts w:hint="default" w:ascii="Times New Roman" w:hAnsi="Times New Roman" w:eastAsia="仿宋" w:cs="Times New Roman"/>
          <w:color w:val="auto"/>
          <w:sz w:val="24"/>
          <w:szCs w:val="24"/>
          <w:highlight w:val="none"/>
          <w:u w:val="none"/>
        </w:rPr>
        <w:t xml:space="preserve">因资金拨付、审批流程等因素导致的付款迟延，</w:t>
      </w:r>
      <w:r>
        <w:rPr>
          <w:rFonts w:hint="eastAsia" w:ascii="Times New Roman" w:hAnsi="Times New Roman" w:eastAsia="仿宋" w:cs="Times New Roman"/>
          <w:color w:val="auto"/>
          <w:sz w:val="24"/>
          <w:szCs w:val="24"/>
          <w:highlight w:val="none"/>
          <w:u w:val="none"/>
          <w:lang w:val="en-US" w:eastAsia="zh-CN"/>
        </w:rPr>
        <w:t xml:space="preserve">乙方</w:t>
      </w:r>
      <w:r>
        <w:rPr>
          <w:rFonts w:hint="default" w:ascii="Times New Roman" w:hAnsi="Times New Roman" w:eastAsia="仿宋" w:cs="Times New Roman"/>
          <w:color w:val="auto"/>
          <w:sz w:val="24"/>
          <w:szCs w:val="24"/>
          <w:highlight w:val="none"/>
          <w:u w:val="none"/>
        </w:rPr>
        <w:t xml:space="preserve">表示充分谅解，不作违约行为处理。</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
        </w:rPr>
        <w:t xml:space="preserve">3</w:t>
      </w:r>
      <w:r>
        <w:rPr>
          <w:rFonts w:hint="default" w:ascii="Times New Roman" w:hAnsi="Times New Roman" w:eastAsia="仿宋" w:cs="Times New Roman"/>
          <w:color w:val="auto"/>
          <w:sz w:val="24"/>
          <w:szCs w:val="24"/>
          <w:highlight w:val="none"/>
          <w:lang w:bidi="ar"/>
        </w:rPr>
        <w:t xml:space="preserve">.如乙方不能交付货物、完成安装调试的，乙方应向甲方支付合同总价10 %的违约金。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
        </w:rPr>
        <w:t xml:space="preserve">4</w:t>
      </w:r>
      <w:r>
        <w:rPr>
          <w:rFonts w:hint="default" w:ascii="Times New Roman" w:hAnsi="Times New Roman" w:eastAsia="仿宋" w:cs="Times New Roman"/>
          <w:color w:val="auto"/>
          <w:sz w:val="24"/>
          <w:szCs w:val="24"/>
          <w:highlight w:val="none"/>
          <w:lang w:bidi="ar"/>
        </w:rPr>
        <w:t xml:space="preserve">.乙方逾期交付的，每逾期1天，乙方向甲方偿付合同总额的5 ‰的</w:t>
      </w:r>
      <w:r>
        <w:rPr>
          <w:rFonts w:hint="eastAsia" w:eastAsia="仿宋" w:cs="Times New Roman"/>
          <w:color w:val="auto"/>
          <w:sz w:val="24"/>
          <w:szCs w:val="24"/>
          <w:highlight w:val="none"/>
          <w:lang w:val="en-US" w:eastAsia="zh-CN" w:bidi="ar"/>
        </w:rPr>
        <w:t xml:space="preserve">逾期违约金</w:t>
      </w:r>
      <w:r>
        <w:rPr>
          <w:rFonts w:hint="default" w:ascii="Times New Roman" w:hAnsi="Times New Roman" w:eastAsia="仿宋" w:cs="Times New Roman"/>
          <w:color w:val="auto"/>
          <w:sz w:val="24"/>
          <w:szCs w:val="24"/>
          <w:highlight w:val="none"/>
          <w:lang w:bidi="ar"/>
        </w:rPr>
        <w:t xml:space="preserve">。如乙方逾期交付达60天，甲方有权解除合同，解除合同的通知自到达乙方时生效。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
        </w:rPr>
        <w:t xml:space="preserve">5</w:t>
      </w:r>
      <w:r>
        <w:rPr>
          <w:rFonts w:hint="default" w:ascii="Times New Roman" w:hAnsi="Times New Roman" w:eastAsia="仿宋" w:cs="Times New Roman"/>
          <w:color w:val="auto"/>
          <w:sz w:val="24"/>
          <w:szCs w:val="24"/>
          <w:highlight w:val="none"/>
          <w:lang w:bidi="ar"/>
        </w:rPr>
        <w:t xml:space="preserve">.乙方所交付的货物品种、型号、规格不符合合同规定的，甲方有权拒收。甲方拒收的，乙方应向甲方支付货款总额10 %的违约金。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
        </w:rPr>
        <w:t xml:space="preserve">6</w:t>
      </w:r>
      <w:r>
        <w:rPr>
          <w:rFonts w:hint="default" w:ascii="Times New Roman" w:hAnsi="Times New Roman" w:eastAsia="仿宋" w:cs="Times New Roman"/>
          <w:color w:val="auto"/>
          <w:sz w:val="24"/>
          <w:szCs w:val="24"/>
          <w:highlight w:val="none"/>
          <w:lang w:bidi="ar"/>
        </w:rPr>
        <w:t xml:space="preserve">.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
        </w:rPr>
        <w:t xml:space="preserve">7</w:t>
      </w:r>
      <w:r>
        <w:rPr>
          <w:rFonts w:hint="default" w:ascii="Times New Roman" w:hAnsi="Times New Roman" w:eastAsia="仿宋" w:cs="Times New Roman"/>
          <w:color w:val="auto"/>
          <w:sz w:val="24"/>
          <w:szCs w:val="24"/>
          <w:highlight w:val="none"/>
          <w:lang w:bidi="ar"/>
        </w:rPr>
        <w:t xml:space="preserve">.乙方未按本合同的规定和“服务承诺”提供伴随服务/售后服务的，应按合同总价款的10 %向甲方承担违约责任。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
        </w:rPr>
        <w:t xml:space="preserve">8</w:t>
      </w:r>
      <w:r>
        <w:rPr>
          <w:rFonts w:hint="default" w:ascii="Times New Roman" w:hAnsi="Times New Roman" w:eastAsia="仿宋" w:cs="Times New Roman"/>
          <w:color w:val="auto"/>
          <w:sz w:val="24"/>
          <w:szCs w:val="24"/>
          <w:highlight w:val="none"/>
          <w:lang w:bidi="ar"/>
        </w:rPr>
        <w:t xml:space="preserve">.乙方在承担上述4-7款一项或多项违约责任后，仍应继续履行合同规定的义务（甲方解除合同的除外）。甲方未能及时追究乙方的任何一项违约责任并不表明甲方放弃追究乙方该项或其他违约责任。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
        </w:rPr>
        <w:t xml:space="preserve">9</w:t>
      </w:r>
      <w:r>
        <w:rPr>
          <w:rFonts w:hint="default" w:ascii="Times New Roman" w:hAnsi="Times New Roman" w:eastAsia="仿宋" w:cs="Times New Roman"/>
          <w:color w:val="auto"/>
          <w:sz w:val="24"/>
          <w:szCs w:val="24"/>
          <w:highlight w:val="none"/>
          <w:lang w:bidi="ar"/>
        </w:rPr>
        <w:t xml:space="preserve">.乙方投标（响应）属虚假承诺，或经权威部门检测提供的货物不能满足</w:t>
      </w:r>
      <w:r>
        <w:rPr>
          <w:rFonts w:hint="eastAsia" w:eastAsia="仿宋" w:cs="Times New Roman"/>
          <w:color w:val="auto"/>
          <w:sz w:val="24"/>
          <w:szCs w:val="24"/>
          <w:highlight w:val="none"/>
          <w:lang w:val="en-US" w:eastAsia="zh-CN" w:bidi="ar"/>
        </w:rPr>
        <w:t xml:space="preserve">投标</w:t>
      </w:r>
      <w:r>
        <w:rPr>
          <w:rFonts w:hint="default" w:ascii="Times New Roman" w:hAnsi="Times New Roman" w:eastAsia="仿宋" w:cs="Times New Roman"/>
          <w:color w:val="auto"/>
          <w:sz w:val="24"/>
          <w:szCs w:val="24"/>
          <w:highlight w:val="none"/>
          <w:lang w:bidi="ar"/>
        </w:rPr>
        <w:t xml:space="preserve">文件要求，或是由于乙方的过错造成合同无法继续履行的，乙方应向甲方支付10 %赔偿金。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bidi="ar"/>
        </w:rPr>
        <w:t xml:space="preserve">第十</w:t>
      </w:r>
      <w:r>
        <w:rPr>
          <w:rFonts w:hint="eastAsia" w:ascii="Times New Roman" w:hAnsi="Times New Roman" w:eastAsia="仿宋" w:cs="Times New Roman"/>
          <w:b/>
          <w:bCs/>
          <w:color w:val="auto"/>
          <w:sz w:val="24"/>
          <w:szCs w:val="24"/>
          <w:highlight w:val="none"/>
          <w:lang w:val="en-US" w:eastAsia="zh-CN" w:bidi="ar"/>
        </w:rPr>
        <w:t xml:space="preserve">二</w:t>
      </w:r>
      <w:r>
        <w:rPr>
          <w:rFonts w:hint="default" w:ascii="Times New Roman" w:hAnsi="Times New Roman" w:eastAsia="仿宋" w:cs="Times New Roman"/>
          <w:b/>
          <w:bCs/>
          <w:color w:val="auto"/>
          <w:sz w:val="24"/>
          <w:szCs w:val="24"/>
          <w:highlight w:val="none"/>
          <w:lang w:bidi="ar"/>
        </w:rPr>
        <w:t xml:space="preserve">条 合同的变更和终止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lang w:bidi="ar"/>
        </w:rPr>
      </w:pPr>
      <w:r>
        <w:rPr>
          <w:rFonts w:hint="default" w:ascii="Times New Roman" w:hAnsi="Times New Roman" w:eastAsia="仿宋" w:cs="Times New Roman"/>
          <w:color w:val="auto"/>
          <w:sz w:val="24"/>
          <w:szCs w:val="24"/>
          <w:highlight w:val="none"/>
          <w:lang w:bidi="ar"/>
        </w:rPr>
        <w:t xml:space="preserve">1.除《政府采购法》第50条规定的情形外，本合同一经签订，甲乙双方不得擅自变更、中止或终止。</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2.除发生法律规定的不能预见、不能避免并不能克服的客观情况外，甲乙双方不得放弃或拒绝履行合同。乙方放弃或拒绝履行合同，按规定接受相关部门的处罚。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bidi="ar"/>
        </w:rPr>
        <w:t xml:space="preserve">第十</w:t>
      </w:r>
      <w:r>
        <w:rPr>
          <w:rFonts w:hint="eastAsia" w:ascii="Times New Roman" w:hAnsi="Times New Roman" w:eastAsia="仿宋" w:cs="Times New Roman"/>
          <w:b/>
          <w:bCs/>
          <w:color w:val="auto"/>
          <w:sz w:val="24"/>
          <w:szCs w:val="24"/>
          <w:highlight w:val="none"/>
          <w:lang w:val="en-US" w:eastAsia="zh-CN" w:bidi="ar"/>
        </w:rPr>
        <w:t xml:space="preserve">三</w:t>
      </w:r>
      <w:r>
        <w:rPr>
          <w:rFonts w:hint="default" w:ascii="Times New Roman" w:hAnsi="Times New Roman" w:eastAsia="仿宋" w:cs="Times New Roman"/>
          <w:b/>
          <w:bCs/>
          <w:color w:val="auto"/>
          <w:sz w:val="24"/>
          <w:szCs w:val="24"/>
          <w:highlight w:val="none"/>
          <w:lang w:bidi="ar"/>
        </w:rPr>
        <w:t xml:space="preserve">条 合同的转让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乙方不得擅自部分或全部转让其应履行的合同义务。 </w:t>
      </w:r>
      <w:r/>
    </w:p>
    <w:p>
      <w:pPr>
        <w:numPr>
          <w:ilvl w:val="0"/>
          <w:numId w:val="14"/>
        </w:num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争议的解决 </w:t>
      </w:r>
      <w:r/>
    </w:p>
    <w:p>
      <w:pPr>
        <w:numPr>
          <w:ilvl w:val="0"/>
          <w:numId w:val="0"/>
        </w:num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1.因货物的质量问题发生争议的，应当邀请国家认可的质量检测机构对货物质量进行鉴定。货物符合质量标准的，鉴定费由甲方承担；货物不符合质量标准的，鉴定费由乙方承担。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2.因履行本合同引起的或与本合同有关的争议，甲、乙双方应首先通过友好协商解决，如果协商不能解决争议，则采取以下第（</w:t>
      </w:r>
      <w:r>
        <w:rPr>
          <w:rFonts w:hint="eastAsia" w:ascii="Times New Roman" w:hAnsi="Times New Roman" w:eastAsia="仿宋" w:cs="Times New Roman"/>
          <w:color w:val="auto"/>
          <w:sz w:val="24"/>
          <w:szCs w:val="24"/>
          <w:highlight w:val="none"/>
          <w:lang w:val="en-US" w:eastAsia="zh-CN" w:bidi="ar"/>
        </w:rPr>
        <w:t xml:space="preserve">1</w:t>
      </w:r>
      <w:r>
        <w:rPr>
          <w:rFonts w:hint="default" w:ascii="Times New Roman" w:hAnsi="Times New Roman" w:eastAsia="仿宋" w:cs="Times New Roman"/>
          <w:color w:val="auto"/>
          <w:sz w:val="24"/>
          <w:szCs w:val="24"/>
          <w:highlight w:val="none"/>
          <w:lang w:bidi="ar"/>
        </w:rPr>
        <w:t xml:space="preserve">）种方式解决争议：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（1）向甲方所在地有管辖权的人民法院提起诉讼；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（2）向南京仲裁委员会按其仲裁规则申请仲裁。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如没有约定，默认采取第 2 种方式解决争议。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3.仲裁</w:t>
      </w:r>
      <w:r>
        <w:rPr>
          <w:rFonts w:hint="eastAsia" w:ascii="Times New Roman" w:hAnsi="Times New Roman" w:eastAsia="仿宋" w:cs="Times New Roman"/>
          <w:color w:val="auto"/>
          <w:sz w:val="24"/>
          <w:szCs w:val="24"/>
          <w:highlight w:val="none"/>
          <w:lang w:val="en-US" w:eastAsia="zh-CN" w:bidi="ar"/>
        </w:rPr>
        <w:t xml:space="preserve">和诉讼</w:t>
      </w:r>
      <w:r>
        <w:rPr>
          <w:rFonts w:hint="default" w:ascii="Times New Roman" w:hAnsi="Times New Roman" w:eastAsia="仿宋" w:cs="Times New Roman"/>
          <w:color w:val="auto"/>
          <w:sz w:val="24"/>
          <w:szCs w:val="24"/>
          <w:highlight w:val="none"/>
          <w:lang w:bidi="ar"/>
        </w:rPr>
        <w:t xml:space="preserve">期间本合同应继续履行。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bidi="ar"/>
        </w:rPr>
        <w:t xml:space="preserve">第十</w:t>
      </w:r>
      <w:r>
        <w:rPr>
          <w:rFonts w:hint="eastAsia" w:ascii="Times New Roman" w:hAnsi="Times New Roman" w:eastAsia="仿宋" w:cs="Times New Roman"/>
          <w:b/>
          <w:bCs/>
          <w:color w:val="auto"/>
          <w:sz w:val="24"/>
          <w:szCs w:val="24"/>
          <w:highlight w:val="none"/>
          <w:lang w:val="en-US" w:eastAsia="zh-CN" w:bidi="ar"/>
        </w:rPr>
        <w:t xml:space="preserve">五</w:t>
      </w:r>
      <w:r>
        <w:rPr>
          <w:rFonts w:hint="default" w:ascii="Times New Roman" w:hAnsi="Times New Roman" w:eastAsia="仿宋" w:cs="Times New Roman"/>
          <w:b/>
          <w:bCs/>
          <w:color w:val="auto"/>
          <w:sz w:val="24"/>
          <w:szCs w:val="24"/>
          <w:highlight w:val="none"/>
          <w:lang w:bidi="ar"/>
        </w:rPr>
        <w:t xml:space="preserve">条 诚实信用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乙方应诚实信用，严格按照采购文件要求和响应承诺履行合同，不向甲方进行商业贿赂或者提供不正当利益。 </w:t>
      </w:r>
      <w:r/>
    </w:p>
    <w:p>
      <w:pPr>
        <w:ind w:firstLine="482"/>
        <w:jc w:val="left"/>
        <w:keepLines w:val="0"/>
        <w:keepNext w:val="0"/>
        <w:pageBreakBefore w:val="0"/>
        <w:spacing w:line="360" w:lineRule="auto"/>
        <w:widowControl/>
        <w:rPr>
          <w:rFonts w:hint="default" w:ascii="Times New Roman" w:hAnsi="Times New Roman" w:eastAsia="仿宋" w:cs="Times New Roman"/>
          <w:b/>
          <w:bCs/>
          <w:color w:val="auto"/>
          <w:sz w:val="24"/>
          <w:szCs w:val="24"/>
          <w:highlight w:val="none"/>
          <w:lang w:bidi="ar"/>
        </w:rPr>
      </w:pPr>
      <w:r>
        <w:rPr>
          <w:rFonts w:hint="default" w:ascii="Times New Roman" w:hAnsi="Times New Roman" w:eastAsia="仿宋" w:cs="Times New Roman"/>
          <w:b/>
          <w:bCs/>
          <w:color w:val="auto"/>
          <w:sz w:val="24"/>
          <w:szCs w:val="24"/>
          <w:highlight w:val="none"/>
          <w:lang w:bidi="ar"/>
        </w:rPr>
        <w:t xml:space="preserve">第十</w:t>
      </w:r>
      <w:r>
        <w:rPr>
          <w:rFonts w:hint="eastAsia" w:ascii="Times New Roman" w:hAnsi="Times New Roman" w:eastAsia="仿宋" w:cs="Times New Roman"/>
          <w:b/>
          <w:bCs/>
          <w:color w:val="auto"/>
          <w:sz w:val="24"/>
          <w:szCs w:val="24"/>
          <w:highlight w:val="none"/>
          <w:lang w:val="en-US" w:eastAsia="zh-CN" w:bidi="ar"/>
        </w:rPr>
        <w:t xml:space="preserve">六</w:t>
      </w:r>
      <w:r>
        <w:rPr>
          <w:rFonts w:hint="default" w:ascii="Times New Roman" w:hAnsi="Times New Roman" w:eastAsia="仿宋" w:cs="Times New Roman"/>
          <w:b/>
          <w:bCs/>
          <w:color w:val="auto"/>
          <w:sz w:val="24"/>
          <w:szCs w:val="24"/>
          <w:highlight w:val="none"/>
          <w:lang w:bidi="ar"/>
        </w:rPr>
        <w:t xml:space="preserve">条 合同生效及其他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1.本合同自签订之日起生效，两个工作日内在财政部门指定的媒体上公告。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2.本合同一式四份，甲乙双方各执</w:t>
      </w:r>
      <w:r>
        <w:rPr>
          <w:rFonts w:hint="eastAsia" w:ascii="Times New Roman" w:hAnsi="Times New Roman" w:eastAsia="仿宋" w:cs="Times New Roman"/>
          <w:color w:val="auto"/>
          <w:sz w:val="24"/>
          <w:szCs w:val="24"/>
          <w:highlight w:val="none"/>
          <w:lang w:val="en-US" w:eastAsia="zh-CN" w:bidi="ar"/>
        </w:rPr>
        <w:t xml:space="preserve">贰</w:t>
      </w:r>
      <w:r>
        <w:rPr>
          <w:rFonts w:hint="default" w:ascii="Times New Roman" w:hAnsi="Times New Roman" w:eastAsia="仿宋" w:cs="Times New Roman"/>
          <w:color w:val="auto"/>
          <w:sz w:val="24"/>
          <w:szCs w:val="24"/>
          <w:highlight w:val="none"/>
          <w:lang w:bidi="ar"/>
        </w:rPr>
        <w:t xml:space="preserve">份。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3.本合同按照中华人民共和国的现行法律进行解释。 </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4.</w:t>
      </w:r>
      <w:r>
        <w:rPr>
          <w:rFonts w:hint="eastAsia" w:ascii="Times New Roman" w:hAnsi="Times New Roman" w:eastAsia="仿宋" w:cs="Times New Roman"/>
          <w:color w:val="auto"/>
          <w:sz w:val="24"/>
          <w:szCs w:val="24"/>
          <w:highlight w:val="none"/>
          <w:lang w:val="en-US" w:eastAsia="zh-CN" w:bidi="ar"/>
        </w:rPr>
        <w:t xml:space="preserve">附件：分项报价明细</w:t>
      </w:r>
      <w:r>
        <w:rPr>
          <w:rFonts w:hint="default" w:ascii="Times New Roman" w:hAnsi="Times New Roman" w:eastAsia="仿宋" w:cs="Times New Roman"/>
          <w:color w:val="auto"/>
          <w:sz w:val="24"/>
          <w:szCs w:val="24"/>
          <w:highlight w:val="none"/>
          <w:lang w:bidi="ar"/>
        </w:rPr>
        <w:t xml:space="preserve"> </w:t>
      </w:r>
      <w:r/>
    </w:p>
    <w:p>
      <w:pP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甲方(采购人)：</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t xml:space="preserve">                  乙方(供应商)：</w:t>
      </w:r>
      <w:r/>
    </w:p>
    <w:p>
      <w:pP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(盖章)</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t xml:space="preserve">                        (盖章)</w:t>
      </w:r>
      <w:r/>
    </w:p>
    <w:p>
      <w:pP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代表人：</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t xml:space="preserve">                     代表人：</w:t>
      </w:r>
      <w:r/>
    </w:p>
    <w:p>
      <w:pP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电话：</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color w:val="auto"/>
          <w:sz w:val="24"/>
          <w:szCs w:val="24"/>
          <w:highlight w:val="none"/>
          <w:lang w:val="en-US" w:eastAsia="zh-CN"/>
        </w:rPr>
        <w:t xml:space="preserve">  </w:t>
      </w:r>
      <w:r>
        <w:rPr>
          <w:rFonts w:hint="default" w:ascii="Times New Roman" w:hAnsi="Times New Roman" w:eastAsia="仿宋" w:cs="Times New Roman"/>
          <w:color w:val="auto"/>
          <w:sz w:val="24"/>
          <w:szCs w:val="24"/>
          <w:highlight w:val="none"/>
        </w:rPr>
        <w:t xml:space="preserve">电话：</w:t>
      </w:r>
      <w:r/>
    </w:p>
    <w:p>
      <w:pPr>
        <w:pStyle w:val="1224"/>
        <w:spacing w:before="120" w:after="120" w:line="264"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开户银行：                             开户银行：</w:t>
      </w:r>
      <w:r/>
    </w:p>
    <w:p>
      <w:pPr>
        <w:pStyle w:val="1224"/>
        <w:spacing w:before="120" w:after="120" w:line="264"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账号：                                 账号：</w:t>
      </w:r>
      <w:r/>
    </w:p>
    <w:p>
      <w:pPr>
        <w:pStyle w:val="1224"/>
        <w:spacing w:before="120" w:after="120" w:line="264"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rPr>
        <w:t xml:space="preserve">日期：   年   月   日</w:t>
      </w:r>
      <w:r>
        <w:rPr>
          <w:rFonts w:hint="default" w:ascii="Times New Roman" w:hAnsi="Times New Roman" w:eastAsia="仿宋" w:cs="Times New Roman"/>
          <w:color w:val="auto"/>
          <w:sz w:val="24"/>
          <w:szCs w:val="24"/>
          <w:highlight w:val="none"/>
        </w:rPr>
        <w:t xml:space="preserve">         </w:t>
      </w:r>
      <w:r/>
    </w:p>
    <w:p>
      <w:pPr>
        <w:rPr>
          <w:rFonts w:hint="default" w:ascii="Times New Roman" w:hAnsi="Times New Roman" w:eastAsia="仿宋" w:cs="Times New Roman"/>
          <w:color w:val="auto"/>
          <w:szCs w:val="32"/>
          <w:highlight w:val="none"/>
        </w:rPr>
      </w:pPr>
      <w:r/>
      <w:bookmarkStart w:id="156" w:name="_Toc15886"/>
      <w:r>
        <w:rPr>
          <w:rFonts w:hint="default" w:ascii="Times New Roman" w:hAnsi="Times New Roman" w:eastAsia="仿宋" w:cs="Times New Roman"/>
          <w:color w:val="auto"/>
          <w:szCs w:val="32"/>
          <w:highlight w:val="none"/>
        </w:rPr>
        <w:br w:type="page" w:clear="all"/>
      </w:r>
      <w:r/>
    </w:p>
    <w:p>
      <w:pPr>
        <w:pStyle w:val="817"/>
        <w:spacing w:line="360" w:lineRule="auto"/>
        <w:rPr>
          <w:rFonts w:hint="default" w:ascii="Times New Roman" w:hAnsi="Times New Roman" w:eastAsia="仿宋" w:cs="Times New Roman"/>
          <w:color w:val="auto"/>
          <w:szCs w:val="32"/>
          <w:highlight w:val="none"/>
        </w:rPr>
      </w:pPr>
      <w:r>
        <w:rPr>
          <w:rFonts w:hint="default" w:ascii="Times New Roman" w:hAnsi="Times New Roman" w:eastAsia="仿宋" w:cs="Times New Roman"/>
          <w:color w:val="auto"/>
          <w:szCs w:val="32"/>
          <w:highlight w:val="none"/>
        </w:rPr>
        <w:t xml:space="preserve"> </w:t>
      </w:r>
      <w:bookmarkStart w:id="157" w:name="_Toc28285"/>
      <w:r/>
      <w:bookmarkStart w:id="158" w:name="_Toc30403"/>
      <w:r>
        <w:rPr>
          <w:rFonts w:hint="default" w:ascii="Times New Roman" w:hAnsi="Times New Roman" w:eastAsia="仿宋" w:cs="Times New Roman"/>
          <w:color w:val="auto"/>
          <w:szCs w:val="32"/>
          <w:highlight w:val="none"/>
        </w:rPr>
        <w:t xml:space="preserve">投标文件格式及附件</w:t>
      </w:r>
      <w:bookmarkEnd w:id="156"/>
      <w:r/>
      <w:bookmarkEnd w:id="157"/>
      <w:r/>
      <w:bookmarkEnd w:id="158"/>
      <w:r/>
      <w:r/>
    </w:p>
    <w:p>
      <w:pPr>
        <w:pStyle w:val="876"/>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left"/>
        <w:spacing w:line="240" w:lineRule="atLeast"/>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r>
      <w:r/>
    </w:p>
    <w:p>
      <w:pPr>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r>
      <w:r/>
    </w:p>
    <w:p>
      <w:pPr>
        <w:jc w:val="center"/>
        <w:rPr>
          <w:rFonts w:hint="default" w:ascii="Times New Roman" w:hAnsi="Times New Roman" w:eastAsia="仿宋" w:cs="Times New Roman"/>
          <w:color w:val="auto"/>
          <w:sz w:val="52"/>
          <w:szCs w:val="52"/>
          <w:highlight w:val="none"/>
        </w:rPr>
      </w:pPr>
      <w:r>
        <w:rPr>
          <w:rFonts w:hint="default" w:ascii="Times New Roman" w:hAnsi="Times New Roman" w:eastAsia="仿宋" w:cs="Times New Roman"/>
          <w:color w:val="auto"/>
          <w:sz w:val="52"/>
          <w:szCs w:val="52"/>
          <w:highlight w:val="none"/>
        </w:rPr>
        <w:t xml:space="preserve">投标文件</w:t>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ind w:firstLine="720"/>
        <w:spacing w:line="360" w:lineRule="auto"/>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t xml:space="preserve">项目名称：</w:t>
      </w:r>
      <w:r/>
    </w:p>
    <w:p>
      <w:pPr>
        <w:ind w:firstLine="720"/>
        <w:spacing w:line="360" w:lineRule="auto"/>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t xml:space="preserve">项目编号：</w:t>
      </w:r>
      <w:r/>
    </w:p>
    <w:p>
      <w:pPr>
        <w:ind w:firstLine="720"/>
        <w:spacing w:line="360" w:lineRule="auto"/>
        <w:rPr>
          <w:rFonts w:hint="default" w:ascii="Times New Roman" w:hAnsi="Times New Roman" w:eastAsia="仿宋" w:cs="Times New Roman"/>
          <w:color w:val="auto"/>
          <w:sz w:val="36"/>
          <w:szCs w:val="36"/>
          <w:highlight w:val="none"/>
          <w:u w:val="single"/>
        </w:rPr>
      </w:pPr>
      <w:r>
        <w:rPr>
          <w:rFonts w:hint="default" w:ascii="Times New Roman" w:hAnsi="Times New Roman" w:eastAsia="仿宋" w:cs="Times New Roman"/>
          <w:color w:val="auto"/>
          <w:sz w:val="36"/>
          <w:szCs w:val="36"/>
          <w:highlight w:val="none"/>
        </w:rPr>
        <w:t xml:space="preserve">投标人名称：（加盖电子公章）</w:t>
      </w:r>
      <w:r/>
    </w:p>
    <w:p>
      <w:pPr>
        <w:ind w:firstLine="720"/>
        <w:jc w:val="left"/>
        <w:spacing w:line="360" w:lineRule="auto"/>
        <w:widowControl/>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36"/>
          <w:szCs w:val="36"/>
          <w:highlight w:val="none"/>
        </w:rPr>
        <w:t xml:space="preserve">日期：</w:t>
      </w:r>
      <w:r>
        <w:rPr>
          <w:rFonts w:hint="default" w:ascii="Times New Roman" w:hAnsi="Times New Roman" w:eastAsia="仿宋" w:cs="Times New Roman"/>
          <w:color w:val="auto"/>
          <w:sz w:val="28"/>
          <w:szCs w:val="28"/>
          <w:highlight w:val="none"/>
        </w:rPr>
        <w:br w:type="page" w:clear="all"/>
      </w:r>
      <w:r/>
    </w:p>
    <w:p>
      <w:pPr>
        <w:numPr>
          <w:ilvl w:val="0"/>
          <w:numId w:val="15"/>
        </w:numPr>
        <w:spacing w:line="360" w:lineRule="auto"/>
        <w:rPr>
          <w:rFonts w:hint="default" w:ascii="Times New Roman" w:hAnsi="Times New Roman" w:eastAsia="仿宋" w:cs="Times New Roman"/>
          <w:b/>
          <w:bCs/>
          <w:color w:val="auto"/>
          <w:sz w:val="24"/>
          <w:highlight w:val="none"/>
        </w:rPr>
        <w:outlineLvl w:val="1"/>
      </w:pPr>
      <w:r/>
      <w:bookmarkStart w:id="159" w:name="_Toc5786"/>
      <w:r>
        <w:rPr>
          <w:rFonts w:hint="default" w:ascii="Times New Roman" w:hAnsi="Times New Roman" w:eastAsia="仿宋" w:cs="Times New Roman"/>
          <w:b/>
          <w:bCs/>
          <w:color w:val="auto"/>
          <w:sz w:val="24"/>
          <w:highlight w:val="none"/>
        </w:rPr>
        <w:t xml:space="preserve">基本目录</w:t>
      </w:r>
      <w:bookmarkEnd w:id="159"/>
      <w:r/>
      <w:r/>
    </w:p>
    <w:p>
      <w:pPr>
        <w:spacing w:after="240" w:line="360" w:lineRule="auto"/>
        <w:rPr>
          <w:rFonts w:hint="default" w:ascii="Times New Roman" w:hAnsi="Times New Roman" w:eastAsia="仿宋" w:cs="Times New Roman"/>
          <w:b/>
          <w:bCs/>
          <w:color w:val="auto"/>
          <w:sz w:val="24"/>
          <w:highlight w:val="none"/>
        </w:rPr>
        <w:outlineLvl w:val="2"/>
      </w:pPr>
      <w:r/>
      <w:bookmarkStart w:id="160" w:name="_Toc28563"/>
      <w:r>
        <w:rPr>
          <w:rFonts w:hint="default" w:ascii="Times New Roman" w:hAnsi="Times New Roman" w:eastAsia="仿宋" w:cs="Times New Roman"/>
          <w:b/>
          <w:bCs/>
          <w:color w:val="auto"/>
          <w:sz w:val="24"/>
          <w:highlight w:val="none"/>
        </w:rPr>
        <w:t xml:space="preserve">1、开标一览表</w:t>
      </w:r>
      <w:bookmarkEnd w:id="160"/>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开标一览表</w:t>
      </w:r>
      <w:r/>
    </w:p>
    <w:p>
      <w:pPr>
        <w:pStyle w:val="861"/>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投标人全称（CA公章）：供应商名称</w:t>
      </w:r>
      <w:r/>
    </w:p>
    <w:p>
      <w:pPr>
        <w:pStyle w:val="861"/>
        <w:rPr>
          <w:rFonts w:hint="eastAsia" w:ascii="Times New Roman" w:hAnsi="Times New Roman" w:eastAsia="仿宋" w:cs="Times New Roman"/>
          <w:color w:val="auto"/>
          <w:highlight w:val="none"/>
          <w:lang w:bidi="zh-CN"/>
        </w:rPr>
      </w:pPr>
      <w:r>
        <w:rPr>
          <w:rFonts w:hint="default" w:ascii="Times New Roman" w:hAnsi="Times New Roman" w:eastAsia="仿宋" w:cs="Times New Roman"/>
          <w:color w:val="auto"/>
          <w:highlight w:val="none"/>
        </w:rPr>
        <w:t xml:space="preserve">项目名称：</w:t>
      </w:r>
      <w:r>
        <w:rPr>
          <w:rFonts w:hint="eastAsia" w:ascii="Times New Roman" w:hAnsi="Times New Roman" w:eastAsia="仿宋" w:cs="Times New Roman"/>
          <w:color w:val="auto"/>
          <w:highlight w:val="none"/>
          <w:lang w:bidi="zh-CN"/>
        </w:rPr>
        <w:t xml:space="preserve">板桥街道四座泵站备用电源项目</w:t>
      </w:r>
      <w:r/>
    </w:p>
    <w:p>
      <w:pPr>
        <w:pStyle w:val="861"/>
        <w:rPr>
          <w:rFonts w:hint="eastAsia"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JSZC-320114-NJRJ-G2025-0059</w:t>
      </w:r>
      <w:r/>
    </w:p>
    <w:p>
      <w:pPr>
        <w:pStyle w:val="86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分包号：分包号</w:t>
      </w:r>
      <w:r/>
    </w:p>
    <w:tbl>
      <w:tblPr>
        <w:tblStyle w:val="82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52"/>
        <w:gridCol w:w="6060"/>
      </w:tblGrid>
      <w:tr>
        <w:trPr>
          <w:tblCellSpacing w:w="15" w:type="dxa"/>
        </w:trPr>
        <w:tc>
          <w:tcPr>
            <w:shd w:val="clear" w:color="auto" w:fill="auto"/>
            <w:tcW w:w="2407" w:type="dxa"/>
            <w:vAlign w:val="center"/>
            <w:textDirection w:val="lrTb"/>
            <w:noWrap w:val="false"/>
          </w:tcPr>
          <w:p>
            <w:pPr>
              <w:pStyle w:val="86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投标货物名称</w:t>
            </w:r>
            <w:r/>
          </w:p>
        </w:tc>
        <w:tc>
          <w:tcPr>
            <w:shd w:val="clear" w:color="auto" w:fill="auto"/>
            <w:tcW w:w="6015" w:type="dxa"/>
            <w:vAlign w:val="center"/>
            <w:textDirection w:val="lrTb"/>
            <w:noWrap w:val="false"/>
          </w:tcPr>
          <w:p>
            <w:pPr>
              <w:pStyle w:val="861"/>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总价（小写）</w:t>
            </w:r>
            <w:r/>
          </w:p>
        </w:tc>
      </w:tr>
      <w:tr>
        <w:trPr>
          <w:tblCellSpacing w:w="15" w:type="dxa"/>
        </w:trPr>
        <w:tc>
          <w:tcPr>
            <w:shd w:val="clear" w:color="auto" w:fill="auto"/>
            <w:tcW w:w="2407" w:type="dxa"/>
            <w:vAlign w:val="center"/>
            <w:textDirection w:val="lrTb"/>
            <w:noWrap w:val="false"/>
          </w:tcPr>
          <w:p>
            <w:pPr>
              <w:pStyle w:val="86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lang w:bidi="zh-CN"/>
              </w:rPr>
              <w:t xml:space="preserve">投标产品名称</w:t>
            </w:r>
            <w:r/>
          </w:p>
        </w:tc>
        <w:tc>
          <w:tcPr>
            <w:shd w:val="clear" w:color="auto" w:fill="auto"/>
            <w:tcW w:w="6015" w:type="dxa"/>
            <w:vAlign w:val="center"/>
            <w:textDirection w:val="lrTb"/>
            <w:noWrap w:val="false"/>
          </w:tcPr>
          <w:p>
            <w:pPr>
              <w:pStyle w:val="861"/>
              <w:ind w:firstLine="312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635" cy="0"/>
                      <wp:effectExtent l="0" t="4445" r="0" b="5080"/>
                      <wp:docPr id="6"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default" w:ascii="Times New Roman" w:hAnsi="Times New Roman" w:eastAsia="仿宋" w:cs="Times New Roman"/>
                <w:color w:val="auto"/>
                <w:highlight w:val="none"/>
              </w:rPr>
              <w:t xml:space="preserve"> 元</w:t>
            </w:r>
            <w:r/>
          </w:p>
        </w:tc>
      </w:tr>
    </w:tbl>
    <w:p>
      <w:pPr>
        <w:pStyle w:val="861"/>
        <w:ind w:firstLine="576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年   月     日</w:t>
      </w:r>
      <w:r/>
    </w:p>
    <w:p>
      <w:pPr>
        <w:pStyle w:val="86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报价说明：</w:t>
      </w:r>
      <w:r/>
    </w:p>
    <w:p>
      <w:pPr>
        <w:pStyle w:val="861"/>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1、报价包括完成项目的所有费用。采购人不再支付报价以外的任何费用。</w:t>
      </w:r>
      <w:r/>
    </w:p>
    <w:p>
      <w:pPr>
        <w:pStyle w:val="861"/>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3、偏离说明：详见《偏离表》；</w:t>
      </w:r>
      <w:r/>
    </w:p>
    <w:p>
      <w:pPr>
        <w:pStyle w:val="861"/>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76"/>
        <w:ind w:firstLine="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br w:type="page" w:clear="all"/>
      </w:r>
      <w:r/>
    </w:p>
    <w:p>
      <w:pPr>
        <w:spacing w:after="240" w:line="360" w:lineRule="auto"/>
        <w:rPr>
          <w:rFonts w:hint="default" w:ascii="Times New Roman" w:hAnsi="Times New Roman" w:eastAsia="仿宋" w:cs="Times New Roman"/>
          <w:color w:val="auto"/>
          <w:sz w:val="24"/>
          <w:highlight w:val="none"/>
        </w:rPr>
        <w:outlineLvl w:val="2"/>
      </w:pPr>
      <w:r/>
      <w:bookmarkStart w:id="161" w:name="_Toc4441"/>
      <w:r>
        <w:rPr>
          <w:rFonts w:hint="default" w:ascii="Times New Roman" w:hAnsi="Times New Roman" w:eastAsia="仿宋" w:cs="Times New Roman"/>
          <w:b/>
          <w:bCs/>
          <w:color w:val="auto"/>
          <w:sz w:val="24"/>
          <w:highlight w:val="none"/>
        </w:rPr>
        <w:t xml:space="preserve">2、投标申请及声明格式</w:t>
      </w:r>
      <w:bookmarkEnd w:id="161"/>
      <w:r/>
      <w:r/>
    </w:p>
    <w:p>
      <w:pPr>
        <w:jc w:val="center"/>
        <w:spacing w:line="360" w:lineRule="auto"/>
        <w:shd w:val="clear" w:color="auto" w:fill="ffffff"/>
        <w:widowControl/>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b/>
          <w:color w:val="auto"/>
          <w:sz w:val="32"/>
          <w:szCs w:val="32"/>
          <w:highlight w:val="none"/>
        </w:rPr>
        <w:t xml:space="preserve">投标申请及声明</w:t>
      </w:r>
      <w:r/>
    </w:p>
    <w:p>
      <w:pPr>
        <w:spacing w:line="360" w:lineRule="auto"/>
        <w:shd w:val="clear" w:color="auto" w:fill="ffffff"/>
        <w:widowControl/>
        <w:rPr>
          <w:rFonts w:hint="eastAsia"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rPr>
        <w:t xml:space="preserve"> 致：</w:t>
      </w:r>
      <w:r>
        <w:rPr>
          <w:rFonts w:hint="eastAsia" w:eastAsia="仿宋" w:cs="Times New Roman"/>
          <w:color w:val="auto"/>
          <w:sz w:val="24"/>
          <w:highlight w:val="none"/>
          <w:lang w:eastAsia="zh-CN"/>
        </w:rPr>
        <w:t xml:space="preserve">南京瑞嘉建设项目管理有限公司</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根据贵方</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b/>
          <w:bCs/>
          <w:color w:val="auto"/>
          <w:sz w:val="24"/>
          <w:highlight w:val="none"/>
          <w:u w:val="single"/>
        </w:rPr>
        <w:t xml:space="preserve">（</w:t>
      </w:r>
      <w:r>
        <w:rPr>
          <w:rFonts w:hint="default" w:ascii="Times New Roman" w:hAnsi="Times New Roman" w:eastAsia="仿宋" w:cs="Times New Roman"/>
          <w:color w:val="auto"/>
          <w:sz w:val="24"/>
          <w:highlight w:val="none"/>
        </w:rPr>
        <w:t xml:space="preserve">项目名称） </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（项目编号）投标邀请，投标人</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（投标人名称），提交投标文件。</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据此函，签字人兹宣布声明和承诺如下：</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b/>
          <w:bCs/>
          <w:color w:val="auto"/>
          <w:sz w:val="24"/>
          <w:highlight w:val="none"/>
        </w:rPr>
        <w:t xml:space="preserve">我们的资格条件完全符合政府采购法和本次招标要求</w:t>
      </w:r>
      <w:r>
        <w:rPr>
          <w:rFonts w:hint="default" w:ascii="Times New Roman" w:hAnsi="Times New Roman" w:eastAsia="仿宋" w:cs="Times New Roman"/>
          <w:color w:val="auto"/>
          <w:sz w:val="24"/>
          <w:highlight w:val="none"/>
        </w:rPr>
        <w:t xml:space="preserve">，我们同意并向贵方提供了与投标有关的所有证据和资料。</w:t>
      </w:r>
      <w:r/>
    </w:p>
    <w:p>
      <w:pPr>
        <w:ind w:left="1470" w:hanging="105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2、按招标要求，我们的投标报价详见开标一览表。</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3、本项目服务时间为：</w:t>
      </w:r>
      <w:r>
        <w:rPr>
          <w:rFonts w:hint="default" w:ascii="Times New Roman" w:hAnsi="Times New Roman" w:eastAsia="仿宋" w:cs="Times New Roman"/>
          <w:color w:val="auto"/>
          <w:sz w:val="24"/>
          <w:highlight w:val="none"/>
          <w:u w:val="single"/>
        </w:rPr>
        <w:t xml:space="preserve">  满足招标文件要求  </w:t>
      </w:r>
      <w:r>
        <w:rPr>
          <w:rFonts w:hint="default" w:ascii="Times New Roman" w:hAnsi="Times New Roman" w:eastAsia="仿宋" w:cs="Times New Roman"/>
          <w:color w:val="auto"/>
          <w:sz w:val="24"/>
          <w:highlight w:val="none"/>
        </w:rPr>
        <w:t xml:space="preserve">。</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4、我们已详细阅读全部招标文件及其有效补充文件，我们放弃对招标文件任何误解的权利，提交投标文件后，</w:t>
      </w:r>
      <w:r>
        <w:rPr>
          <w:rFonts w:hint="default" w:ascii="Times New Roman" w:hAnsi="Times New Roman" w:eastAsia="仿宋" w:cs="Times New Roman"/>
          <w:b/>
          <w:bCs/>
          <w:color w:val="auto"/>
          <w:sz w:val="24"/>
          <w:highlight w:val="none"/>
        </w:rPr>
        <w:t xml:space="preserve">不对招标文件本身提出质疑</w:t>
      </w:r>
      <w:r>
        <w:rPr>
          <w:rFonts w:hint="default" w:ascii="Times New Roman" w:hAnsi="Times New Roman" w:eastAsia="仿宋" w:cs="Times New Roman"/>
          <w:color w:val="auto"/>
          <w:sz w:val="24"/>
          <w:highlight w:val="none"/>
        </w:rPr>
        <w:t xml:space="preserve">。</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6、投标截止时间结束后参加投标的投标人不足三家的，或在评标期间出现符合专业条件的供应商或者对招标文件作出实质响应的投标人不足三家情形的，我们酌情决定是否参加贵方组织的其他采购人式采购。</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pStyle w:val="864"/>
        <w:ind w:firstLine="480"/>
        <w:jc w:val="both"/>
        <w:spacing w:line="360" w:lineRule="auto"/>
        <w:rPr>
          <w:rFonts w:hint="default" w:ascii="Times New Roman" w:hAnsi="Times New Roman" w:eastAsia="仿宋" w:cs="Times New Roman"/>
          <w:b w:val="0"/>
          <w:bCs w:val="0"/>
          <w:color w:val="auto"/>
          <w:sz w:val="24"/>
          <w:highlight w:val="none"/>
          <w:u w:val="single"/>
        </w:rPr>
      </w:pPr>
      <w:r>
        <w:rPr>
          <w:rFonts w:hint="default" w:ascii="Times New Roman" w:hAnsi="Times New Roman" w:eastAsia="仿宋" w:cs="Times New Roman"/>
          <w:b w:val="0"/>
          <w:bCs w:val="0"/>
          <w:color w:val="auto"/>
          <w:sz w:val="24"/>
          <w:highlight w:val="none"/>
        </w:rPr>
        <w:t xml:space="preserve">9、项目负责人：</w:t>
      </w:r>
      <w:r>
        <w:rPr>
          <w:rFonts w:hint="default" w:ascii="Times New Roman" w:hAnsi="Times New Roman" w:eastAsia="仿宋" w:cs="Times New Roman"/>
          <w:b w:val="0"/>
          <w:bCs w:val="0"/>
          <w:color w:val="auto"/>
          <w:sz w:val="24"/>
          <w:highlight w:val="none"/>
          <w:u w:val="single"/>
        </w:rPr>
        <w:t xml:space="preserve">            </w:t>
      </w:r>
      <w:r>
        <w:rPr>
          <w:rFonts w:hint="default" w:ascii="Times New Roman" w:hAnsi="Times New Roman" w:eastAsia="仿宋" w:cs="Times New Roman"/>
          <w:b w:val="0"/>
          <w:bCs w:val="0"/>
          <w:color w:val="auto"/>
          <w:sz w:val="24"/>
          <w:highlight w:val="none"/>
        </w:rPr>
        <w:t xml:space="preserve">   移动电话：</w:t>
      </w:r>
      <w:r>
        <w:rPr>
          <w:rFonts w:hint="default" w:ascii="Times New Roman" w:hAnsi="Times New Roman" w:eastAsia="仿宋" w:cs="Times New Roman"/>
          <w:b w:val="0"/>
          <w:bCs w:val="0"/>
          <w:color w:val="auto"/>
          <w:sz w:val="24"/>
          <w:highlight w:val="none"/>
          <w:u w:val="single"/>
        </w:rPr>
        <w:t xml:space="preserve">            </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10、与本投标有关的正式联系方式为：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地   址：</w:t>
      </w:r>
      <w:r>
        <w:rPr>
          <w:rFonts w:hint="default" w:ascii="Times New Roman" w:hAnsi="Times New Roman" w:eastAsia="仿宋" w:cs="Times New Roman"/>
          <w:color w:val="auto"/>
          <w:sz w:val="24"/>
          <w:highlight w:val="none"/>
          <w:u w:val="single"/>
        </w:rPr>
        <w:t xml:space="preserve">                      </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电   话：</w:t>
      </w:r>
      <w:r>
        <w:rPr>
          <w:rFonts w:hint="default" w:ascii="Times New Roman" w:hAnsi="Times New Roman" w:eastAsia="仿宋" w:cs="Times New Roman"/>
          <w:color w:val="auto"/>
          <w:sz w:val="24"/>
          <w:highlight w:val="none"/>
          <w:u w:val="single"/>
        </w:rPr>
        <w:t xml:space="preserve">                      </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传   真：</w:t>
      </w:r>
      <w:r>
        <w:rPr>
          <w:rFonts w:hint="default" w:ascii="Times New Roman" w:hAnsi="Times New Roman" w:eastAsia="仿宋" w:cs="Times New Roman"/>
          <w:color w:val="auto"/>
          <w:sz w:val="24"/>
          <w:highlight w:val="none"/>
          <w:u w:val="single"/>
        </w:rPr>
        <w:t xml:space="preserve">                      </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开户银行：</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银行账号：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投标人名称：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（加盖电子公章）</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    期：</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年</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月</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日</w:t>
      </w:r>
      <w:r/>
    </w:p>
    <w:p>
      <w:pPr>
        <w:pStyle w:val="819"/>
        <w:keepLines w:val="0"/>
        <w:spacing w:before="0" w:after="240" w:line="360" w:lineRule="auto"/>
        <w:tabs>
          <w:tab w:val="left" w:pos="1440" w:leader="none"/>
          <w:tab w:val="left" w:pos="5670" w:leader="none"/>
        </w:tabs>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Cs w:val="21"/>
          <w:highlight w:val="none"/>
        </w:rPr>
        <w:br w:type="page" w:clear="all"/>
      </w:r>
      <w:bookmarkStart w:id="162" w:name="_Toc28144"/>
      <w:r/>
      <w:bookmarkStart w:id="163" w:name="_Toc25445"/>
      <w:r/>
      <w:bookmarkStart w:id="164" w:name="_Toc5046"/>
      <w:r/>
      <w:bookmarkStart w:id="165" w:name="_Toc6320"/>
      <w:r/>
      <w:bookmarkStart w:id="166" w:name="_Toc8362"/>
      <w:r/>
      <w:bookmarkStart w:id="167" w:name="_Toc18755"/>
      <w:r/>
      <w:bookmarkStart w:id="168" w:name="_Toc30902"/>
      <w:r>
        <w:rPr>
          <w:rFonts w:hint="default" w:ascii="Times New Roman" w:hAnsi="Times New Roman" w:eastAsia="仿宋" w:cs="Times New Roman"/>
          <w:color w:val="auto"/>
          <w:sz w:val="24"/>
          <w:szCs w:val="24"/>
          <w:highlight w:val="none"/>
        </w:rPr>
        <w:t xml:space="preserve">3、法定代表人授权书或法定代表人身份证明书</w:t>
      </w:r>
      <w:bookmarkEnd w:id="162"/>
      <w:r/>
      <w:bookmarkEnd w:id="163"/>
      <w:r/>
      <w:bookmarkEnd w:id="164"/>
      <w:r/>
      <w:bookmarkEnd w:id="165"/>
      <w:r/>
      <w:bookmarkEnd w:id="166"/>
      <w:r/>
      <w:bookmarkEnd w:id="167"/>
      <w:r/>
      <w:bookmarkEnd w:id="168"/>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法定代表人授权委托书</w:t>
      </w:r>
      <w:r/>
    </w:p>
    <w:p>
      <w:pPr>
        <w:pStyle w:val="828"/>
        <w:ind w:firstLine="482"/>
        <w:jc w:val="both"/>
        <w:spacing w:line="360" w:lineRule="auto"/>
        <w:tabs>
          <w:tab w:val="left" w:pos="5401" w:leader="none"/>
          <w:tab w:val="left" w:pos="7458" w:leader="none"/>
          <w:tab w:val="left" w:pos="8727" w:leader="none"/>
        </w:tabs>
        <w:rPr>
          <w:rFonts w:hint="default" w:ascii="Times New Roman" w:hAnsi="Times New Roman" w:eastAsia="仿宋" w:cs="Times New Roman"/>
          <w:color w:val="auto"/>
          <w:sz w:val="24"/>
          <w:highlight w:val="none"/>
          <w:lang w:bidi="zh-CN"/>
        </w:rPr>
      </w:pPr>
      <w:r>
        <w:rPr>
          <w:rFonts w:hint="default" w:ascii="Times New Roman" w:hAnsi="Times New Roman" w:eastAsia="仿宋" w:cs="Times New Roman"/>
          <w:color w:val="auto"/>
          <w:sz w:val="24"/>
          <w:highlight w:val="none"/>
          <w:lang w:bidi="zh-CN"/>
        </w:rPr>
        <w:t xml:space="preserve">致：</w:t>
      </w:r>
      <w:r>
        <w:rPr>
          <w:rFonts w:hint="eastAsia" w:eastAsia="仿宋" w:cs="Times New Roman"/>
          <w:color w:val="auto"/>
          <w:sz w:val="24"/>
          <w:highlight w:val="none"/>
          <w:lang w:bidi="zh-CN"/>
        </w:rPr>
        <w:t xml:space="preserve">南京市雨花台区人民政府板桥街道办事处</w:t>
      </w:r>
      <w:r>
        <w:rPr>
          <w:rFonts w:hint="default" w:ascii="Times New Roman" w:hAnsi="Times New Roman" w:eastAsia="仿宋" w:cs="Times New Roman"/>
          <w:color w:val="auto"/>
          <w:sz w:val="24"/>
          <w:highlight w:val="none"/>
          <w:lang w:bidi="zh-CN"/>
        </w:rPr>
        <w:t xml:space="preserve">(采购人)</w:t>
      </w:r>
      <w:r/>
    </w:p>
    <w:p>
      <w:pPr>
        <w:pStyle w:val="828"/>
        <w:ind w:firstLine="964"/>
        <w:jc w:val="both"/>
        <w:spacing w:line="360" w:lineRule="auto"/>
        <w:tabs>
          <w:tab w:val="left" w:pos="5401" w:leader="none"/>
          <w:tab w:val="left" w:pos="7458" w:leader="none"/>
          <w:tab w:val="left" w:pos="8727" w:leader="none"/>
        </w:tabs>
        <w:rPr>
          <w:rFonts w:hint="default" w:ascii="Times New Roman" w:hAnsi="Times New Roman" w:eastAsia="仿宋" w:cs="Times New Roman"/>
          <w:color w:val="auto"/>
          <w:sz w:val="24"/>
          <w:highlight w:val="none"/>
          <w:lang w:val="zh-CN" w:bidi="zh-CN"/>
        </w:rPr>
      </w:pPr>
      <w:r>
        <w:rPr>
          <w:rFonts w:hint="eastAsia" w:eastAsia="仿宋" w:cs="Times New Roman"/>
          <w:color w:val="auto"/>
          <w:sz w:val="24"/>
          <w:highlight w:val="none"/>
          <w:lang w:bidi="zh-CN"/>
        </w:rPr>
        <w:t xml:space="preserve">南京瑞嘉建设项目管理有限公司</w:t>
      </w:r>
      <w:r>
        <w:rPr>
          <w:rFonts w:hint="default" w:ascii="Times New Roman" w:hAnsi="Times New Roman" w:eastAsia="仿宋" w:cs="Times New Roman"/>
          <w:color w:val="auto"/>
          <w:sz w:val="24"/>
          <w:highlight w:val="none"/>
          <w:lang w:bidi="zh-CN"/>
        </w:rPr>
        <w:t xml:space="preserve">  </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4"/>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本授权书声明：注册于＿＿＿＿＿（供应商住址）的＿＿＿＿（供应商名称）法定代表人＿＿＿＿（法定代表人姓名、职务）代表本公司授权＿＿＿＿（供应商代表姓名、职务）为本公司的合法代理人，就贵方组织的</w:t>
      </w:r>
      <w:r>
        <w:rPr>
          <w:rFonts w:hint="default" w:ascii="Times New Roman" w:hAnsi="Times New Roman" w:eastAsia="仿宋" w:cs="Times New Roman"/>
          <w:color w:val="auto"/>
          <w:sz w:val="24"/>
          <w:highlight w:val="none"/>
        </w:rPr>
        <w:t xml:space="preserve"> </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lang w:val="zh-CN"/>
        </w:rPr>
        <w:t xml:space="preserve">（项目名称），＿＿＿＿（项目编号）投标，以本公司名义处理一切与之有关的事务。</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本授权书于</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年</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月</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日盖章生效，特此声明。</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0"/>
        <w:spacing w:line="360" w:lineRule="auto"/>
        <w:rPr>
          <w:rFonts w:hint="default" w:ascii="Times New Roman" w:hAnsi="Times New Roman" w:eastAsia="仿宋" w:cs="Times New Roman"/>
          <w:color w:val="auto"/>
          <w:sz w:val="24"/>
          <w:highlight w:val="none"/>
        </w:rPr>
      </w:pPr>
      <w:r>
        <w:rPr>
          <w:rFonts w:hint="eastAsia" w:eastAsia="仿宋" w:cs="Times New Roman"/>
          <w:color w:val="auto"/>
          <w:sz w:val="24"/>
          <w:highlight w:val="none"/>
          <w:lang w:val="en-US" w:eastAsia="zh-CN"/>
        </w:rPr>
        <w:t xml:space="preserve">委托代理</w:t>
      </w:r>
      <w:r>
        <w:rPr>
          <w:rFonts w:hint="default" w:ascii="Times New Roman" w:hAnsi="Times New Roman" w:eastAsia="仿宋" w:cs="Times New Roman"/>
          <w:color w:val="auto"/>
          <w:sz w:val="24"/>
          <w:highlight w:val="none"/>
        </w:rPr>
        <w:t xml:space="preserve">人姓名：            </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年龄：              </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职务：</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身份证：                      </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联系电话：</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加盖电子公章</w:t>
      </w:r>
      <w:r>
        <w:rPr>
          <w:rFonts w:hint="default" w:ascii="Times New Roman" w:hAnsi="Times New Roman" w:eastAsia="仿宋" w:cs="Times New Roman"/>
          <w:color w:val="auto"/>
          <w:sz w:val="24"/>
          <w:highlight w:val="none"/>
          <w:lang w:val="zh-CN"/>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日期：年月日</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（注：后附</w:t>
      </w:r>
      <w:r>
        <w:rPr>
          <w:rFonts w:hint="eastAsia" w:eastAsia="仿宋" w:cs="Times New Roman"/>
          <w:color w:val="auto"/>
          <w:sz w:val="24"/>
          <w:highlight w:val="none"/>
          <w:lang w:val="en-US" w:eastAsia="zh-CN"/>
        </w:rPr>
        <w:t xml:space="preserve">委托代理</w:t>
      </w:r>
      <w:r>
        <w:rPr>
          <w:rFonts w:hint="default" w:ascii="Times New Roman" w:hAnsi="Times New Roman" w:eastAsia="仿宋" w:cs="Times New Roman"/>
          <w:color w:val="auto"/>
          <w:sz w:val="24"/>
          <w:highlight w:val="none"/>
        </w:rPr>
        <w:t xml:space="preserve">人身份证正反面扫描件</w:t>
      </w:r>
      <w:r>
        <w:rPr>
          <w:rFonts w:hint="eastAsia" w:eastAsia="仿宋" w:cs="Times New Roman"/>
          <w:color w:val="auto"/>
          <w:sz w:val="24"/>
          <w:highlight w:val="none"/>
          <w:lang w:val="en-US" w:eastAsia="zh-CN"/>
        </w:rPr>
        <w:t xml:space="preserve">及社保证明材料</w:t>
      </w:r>
      <w:r>
        <w:rPr>
          <w:rFonts w:hint="default" w:ascii="Times New Roman" w:hAnsi="Times New Roman" w:eastAsia="仿宋" w:cs="Times New Roman"/>
          <w:color w:val="auto"/>
          <w:sz w:val="24"/>
          <w:highlight w:val="none"/>
        </w:rPr>
        <w:t xml:space="preserve">）</w:t>
      </w:r>
      <w:r/>
    </w:p>
    <w:p>
      <w:pPr>
        <w:pStyle w:val="876"/>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0"/>
        <w:spacing w:line="360" w:lineRule="auto"/>
        <w:rPr>
          <w:rFonts w:hint="default"/>
          <w:color w:val="auto"/>
          <w:highlight w:val="none"/>
        </w:rPr>
        <w:sectPr>
          <w:footerReference w:type="default" r:id="rId13"/>
          <w:footnotePr/>
          <w:endnotePr/>
          <w:type w:val="nextPage"/>
          <w:pgSz w:w="11906" w:h="16838" w:orient="portrait"/>
          <w:pgMar w:top="1417" w:right="1757" w:bottom="1417" w:left="1757" w:header="851" w:footer="1020" w:gutter="0"/>
          <w:cols w:num="1" w:sep="0" w:space="720" w:equalWidth="1"/>
          <w:docGrid w:linePitch="360"/>
        </w:sectPr>
      </w:pPr>
      <w:r>
        <w:rPr>
          <w:rFonts w:eastAsia="仿宋"/>
          <w:color w:val="auto"/>
          <w:sz w:val="24"/>
          <w:szCs w:val="24"/>
          <w:highlight w:val="none"/>
        </w:rPr>
        <w:t xml:space="preserve">★</w:t>
      </w:r>
      <w:r>
        <w:rPr>
          <w:rFonts w:eastAsia="仿宋"/>
          <w:b/>
          <w:bCs/>
          <w:color w:val="auto"/>
          <w:sz w:val="24"/>
          <w:szCs w:val="24"/>
          <w:highlight w:val="none"/>
        </w:rPr>
        <w:t xml:space="preserve">注：</w:t>
      </w:r>
      <w:r>
        <w:rPr>
          <w:rFonts w:hint="eastAsia" w:eastAsia="仿宋"/>
          <w:b/>
          <w:bCs/>
          <w:color w:val="auto"/>
          <w:sz w:val="24"/>
          <w:szCs w:val="24"/>
          <w:highlight w:val="none"/>
          <w:lang w:val="en-US" w:eastAsia="zh-CN"/>
        </w:rPr>
        <w:t xml:space="preserve">投标</w:t>
      </w:r>
      <w:r>
        <w:rPr>
          <w:rFonts w:eastAsia="仿宋"/>
          <w:b/>
          <w:bCs/>
          <w:color w:val="auto"/>
          <w:sz w:val="24"/>
          <w:szCs w:val="24"/>
          <w:highlight w:val="none"/>
        </w:rPr>
        <w:t xml:space="preserve">文件中提供委托代理人2025年</w:t>
      </w:r>
      <w:r>
        <w:rPr>
          <w:rFonts w:hint="eastAsia" w:eastAsia="仿宋"/>
          <w:b/>
          <w:bCs/>
          <w:color w:val="auto"/>
          <w:sz w:val="24"/>
          <w:szCs w:val="24"/>
          <w:highlight w:val="none"/>
          <w:lang w:val="en-US" w:eastAsia="zh-CN"/>
        </w:rPr>
        <w:t xml:space="preserve">4</w:t>
      </w:r>
      <w:r>
        <w:rPr>
          <w:rFonts w:eastAsia="仿宋"/>
          <w:b/>
          <w:bCs/>
          <w:color w:val="auto"/>
          <w:sz w:val="24"/>
          <w:szCs w:val="24"/>
          <w:highlight w:val="none"/>
        </w:rPr>
        <w:t xml:space="preserve">月以来任意一个月供应商为其缴纳社保的证明材料扫描件加盖公章</w:t>
      </w:r>
      <w:r>
        <w:rPr>
          <w:rFonts w:hint="eastAsia" w:eastAsia="仿宋"/>
          <w:b/>
          <w:bCs/>
          <w:color w:val="auto"/>
          <w:sz w:val="24"/>
          <w:szCs w:val="24"/>
          <w:highlight w:val="none"/>
        </w:rPr>
        <w:t xml:space="preserve">。</w:t>
      </w:r>
      <w:r/>
    </w:p>
    <w:p>
      <w:pPr>
        <w:jc w:val="center"/>
        <w:keepLines/>
        <w:keepNext/>
        <w:spacing w:line="360" w:lineRule="auto"/>
        <w:rPr>
          <w:rFonts w:hint="default" w:ascii="Times New Roman" w:hAnsi="Times New Roman" w:eastAsia="仿宋" w:cs="Times New Roman"/>
          <w:color w:val="auto"/>
          <w:sz w:val="44"/>
          <w:szCs w:val="44"/>
          <w:highlight w:val="none"/>
        </w:rPr>
        <w:pBdr>
          <w:top w:val="none" w:color="000000" w:sz="0" w:space="0"/>
          <w:left w:val="none" w:color="000000" w:sz="0" w:space="0"/>
          <w:bottom w:val="none" w:color="000000" w:sz="0" w:space="0"/>
          <w:right w:val="none" w:color="000000" w:sz="0" w:space="0"/>
        </w:pBdr>
      </w:pPr>
      <w:r/>
      <w:bookmarkStart w:id="169" w:name="_Toc17108"/>
      <w:r/>
      <w:bookmarkStart w:id="170" w:name="_Toc4730"/>
      <w:r/>
      <w:bookmarkStart w:id="171" w:name="_Toc5249"/>
      <w:r/>
      <w:bookmarkStart w:id="172" w:name="_Toc14545"/>
      <w:r>
        <w:rPr>
          <w:rFonts w:hint="default" w:ascii="Times New Roman" w:hAnsi="Times New Roman" w:eastAsia="仿宋" w:cs="Times New Roman"/>
          <w:b/>
          <w:color w:val="auto"/>
          <w:sz w:val="32"/>
          <w:szCs w:val="36"/>
          <w:highlight w:val="none"/>
        </w:rPr>
        <w:t xml:space="preserve">法定代表人身份证明书</w:t>
      </w:r>
      <w:bookmarkEnd w:id="169"/>
      <w:r/>
      <w:bookmarkEnd w:id="170"/>
      <w:r/>
      <w:bookmarkEnd w:id="171"/>
      <w:r/>
      <w:bookmarkEnd w:id="172"/>
      <w:r/>
      <w:r/>
    </w:p>
    <w:p>
      <w:pPr>
        <w:ind w:firstLine="560"/>
        <w:spacing w:line="85" w:lineRule="atLeast"/>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w:t>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兹证明</w:t>
      </w:r>
      <w:r>
        <w:rPr>
          <w:rFonts w:hint="default" w:ascii="Times New Roman" w:hAnsi="Times New Roman" w:eastAsia="仿宋" w:cs="Times New Roman"/>
          <w:b/>
          <w:color w:val="auto"/>
          <w:sz w:val="24"/>
          <w:highlight w:val="none"/>
          <w:u w:val="single"/>
        </w:rPr>
        <w:t xml:space="preserve">×××（）姓名</w:t>
      </w:r>
      <w:r>
        <w:rPr>
          <w:rFonts w:hint="default" w:ascii="Times New Roman" w:hAnsi="Times New Roman" w:eastAsia="仿宋" w:cs="Times New Roman"/>
          <w:color w:val="auto"/>
          <w:sz w:val="24"/>
          <w:highlight w:val="none"/>
        </w:rPr>
        <w:t xml:space="preserve">同志，性别</w:t>
      </w:r>
      <w:r>
        <w:rPr>
          <w:rFonts w:hint="default" w:ascii="Times New Roman" w:hAnsi="Times New Roman" w:eastAsia="仿宋" w:cs="Times New Roman"/>
          <w:b/>
          <w:color w:val="auto"/>
          <w:sz w:val="24"/>
          <w:highlight w:val="none"/>
          <w:u w:val="single"/>
        </w:rPr>
        <w:t xml:space="preserve">×××</w:t>
      </w:r>
      <w:r>
        <w:rPr>
          <w:rFonts w:hint="default" w:ascii="Times New Roman" w:hAnsi="Times New Roman" w:eastAsia="仿宋" w:cs="Times New Roman"/>
          <w:color w:val="auto"/>
          <w:sz w:val="24"/>
          <w:highlight w:val="none"/>
        </w:rPr>
        <w:t xml:space="preserve">，居民身份证号</w:t>
      </w:r>
      <w:r>
        <w:rPr>
          <w:rFonts w:hint="default" w:ascii="Times New Roman" w:hAnsi="Times New Roman" w:eastAsia="仿宋" w:cs="Times New Roman"/>
          <w:b/>
          <w:color w:val="auto"/>
          <w:sz w:val="24"/>
          <w:highlight w:val="none"/>
          <w:u w:val="single"/>
        </w:rPr>
        <w:t xml:space="preserve">×××</w:t>
      </w:r>
      <w:r>
        <w:rPr>
          <w:rFonts w:hint="default" w:ascii="Times New Roman" w:hAnsi="Times New Roman" w:eastAsia="仿宋" w:cs="Times New Roman"/>
          <w:color w:val="auto"/>
          <w:sz w:val="24"/>
          <w:highlight w:val="none"/>
        </w:rPr>
        <w:t xml:space="preserve">，在我单位任</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职务，系我单位主要负责人即法定代表人。</w:t>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 </w:t>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单位地址：</w:t>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 </w:t>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电话：</w:t>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 </w:t>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单位全称： （加盖电子公章） </w:t>
      </w:r>
      <w:r/>
    </w:p>
    <w:p>
      <w:pPr>
        <w:ind w:firstLine="560"/>
        <w:spacing w:line="360" w:lineRule="auto"/>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0"/>
          <w:szCs w:val="21"/>
          <w:highlight w:val="none"/>
        </w:rPr>
      </w:r>
      <w:r/>
    </w:p>
    <w:p>
      <w:pPr>
        <w:ind w:firstLine="560"/>
        <w:spacing w:line="360" w:lineRule="auto"/>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w:t>
      </w:r>
      <w:r/>
    </w:p>
    <w:p>
      <w:pPr>
        <w:ind w:firstLine="560"/>
        <w:jc w:val="right"/>
        <w:spacing w:line="85" w:lineRule="atLeast"/>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年  月  日</w:t>
      </w:r>
      <w:r/>
    </w:p>
    <w:p>
      <w:pPr>
        <w:ind w:firstLine="643"/>
        <w:spacing w:line="85" w:lineRule="atLeast"/>
        <w:rPr>
          <w:rFonts w:hint="default" w:ascii="Times New Roman" w:hAnsi="Times New Roman" w:eastAsia="仿宋" w:cs="Times New Roman"/>
          <w:b/>
          <w:color w:val="auto"/>
          <w:sz w:val="28"/>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8"/>
          <w:szCs w:val="21"/>
          <w:highlight w:val="none"/>
        </w:rPr>
        <w:t xml:space="preserve"> </w:t>
      </w:r>
      <w:r/>
    </w:p>
    <w:p>
      <w:pPr>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highlight w:val="none"/>
        </w:rPr>
        <w:t xml:space="preserve">附：法定代表人居民身份证正反面复印件</w:t>
      </w:r>
      <w:r/>
    </w:p>
    <w:p>
      <w:pPr>
        <w:ind w:firstLine="560"/>
        <w:spacing w:line="360" w:lineRule="auto"/>
        <w:rPr>
          <w:rFonts w:hint="default" w:ascii="Times New Roman" w:hAnsi="Times New Roman" w:eastAsia="仿宋" w:cs="Times New Roman"/>
          <w:color w:val="auto"/>
          <w:sz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u w:val="single"/>
        </w:rPr>
      </w:r>
      <w:r/>
    </w:p>
    <w:p>
      <w:pPr>
        <w:ind w:firstLine="560"/>
        <w:spacing w:line="360" w:lineRule="auto"/>
        <w:rPr>
          <w:rFonts w:hint="default" w:ascii="Times New Roman" w:hAnsi="Times New Roman" w:eastAsia="仿宋" w:cs="Times New Roman"/>
          <w:color w:val="auto"/>
          <w:sz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u w:val="single"/>
        </w:rPr>
      </w:r>
      <w:r/>
    </w:p>
    <w:p>
      <w:pPr>
        <w:ind w:firstLine="560"/>
        <w:spacing w:line="360" w:lineRule="auto"/>
        <w:rPr>
          <w:rFonts w:hint="default" w:ascii="Times New Roman" w:hAnsi="Times New Roman" w:eastAsia="仿宋" w:cs="Times New Roman"/>
          <w:color w:val="auto"/>
          <w:sz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u w:val="single"/>
        </w:rPr>
      </w:r>
      <w:r/>
    </w:p>
    <w:p>
      <w:pPr>
        <w:ind w:firstLine="56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u w:val="single"/>
        </w:rPr>
        <w:t xml:space="preserve">注：1.“法定代表人”直接参加投标响应活动的填写本身份证明</w:t>
      </w:r>
      <w:r>
        <w:rPr>
          <w:rFonts w:hint="default" w:ascii="Times New Roman" w:hAnsi="Times New Roman" w:eastAsia="仿宋" w:cs="Times New Roman"/>
          <w:color w:val="auto"/>
          <w:sz w:val="24"/>
          <w:highlight w:val="none"/>
        </w:rPr>
        <w:t xml:space="preserve">。</w:t>
      </w:r>
      <w:r/>
    </w:p>
    <w:p>
      <w:pPr>
        <w:ind w:firstLine="964"/>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highlight w:val="none"/>
          <w:u w:val="single"/>
        </w:rPr>
        <w:t xml:space="preserve">2.供应商属于非法人组织的，按照法律、行政法规规定能够对外代表其从事民事活动的主要负责人，视同法定代表人。</w:t>
      </w:r>
      <w:r/>
    </w:p>
    <w:p>
      <w:pPr>
        <w:ind w:firstLine="480"/>
        <w:spacing w:line="48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rPr>
        <w:br w:type="page" w:clear="all"/>
      </w:r>
      <w:bookmarkStart w:id="173" w:name="_Toc12264"/>
      <w:r/>
      <w:bookmarkEnd w:id="173"/>
      <w:r/>
    </w:p>
    <w:p>
      <w:pPr>
        <w:jc w:val="left"/>
        <w:spacing w:after="240"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174" w:name="_Toc20182"/>
      <w:r>
        <w:rPr>
          <w:rFonts w:hint="default" w:ascii="Times New Roman" w:hAnsi="Times New Roman" w:eastAsia="仿宋" w:cs="Times New Roman"/>
          <w:b/>
          <w:bCs/>
          <w:color w:val="auto"/>
          <w:sz w:val="24"/>
          <w:highlight w:val="none"/>
        </w:rPr>
        <w:t xml:space="preserve">4、分项报价表</w:t>
      </w:r>
      <w:bookmarkEnd w:id="174"/>
      <w:r/>
      <w:r/>
    </w:p>
    <w:p>
      <w:pPr>
        <w:pStyle w:val="876"/>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分项报价表</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76"/>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（参考第四章</w:t>
      </w:r>
      <w:r>
        <w:rPr>
          <w:rFonts w:hint="eastAsia" w:ascii="Times New Roman" w:hAnsi="Times New Roman" w:eastAsia="仿宋" w:cs="Times New Roman"/>
          <w:b/>
          <w:bCs/>
          <w:color w:val="auto"/>
          <w:sz w:val="24"/>
          <w:highlight w:val="none"/>
          <w:lang w:val="en-US" w:eastAsia="zh-CN"/>
        </w:rPr>
        <w:t xml:space="preserve">采购</w:t>
      </w:r>
      <w:r>
        <w:rPr>
          <w:rFonts w:hint="default" w:ascii="Times New Roman" w:hAnsi="Times New Roman" w:eastAsia="仿宋" w:cs="Times New Roman"/>
          <w:b/>
          <w:bCs/>
          <w:color w:val="auto"/>
          <w:sz w:val="24"/>
          <w:highlight w:val="none"/>
        </w:rPr>
        <w:t xml:space="preserve">清单）</w:t>
      </w:r>
      <w:r/>
    </w:p>
    <w:p>
      <w:pPr>
        <w:jc w:val="center"/>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r>
      <w:r/>
    </w:p>
    <w:p>
      <w:pPr>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项目名称：                                       </w:t>
      </w:r>
      <w:r>
        <w:rPr>
          <w:rFonts w:hint="eastAsia" w:eastAsia="仿宋" w:cs="Times New Roman"/>
          <w:bCs/>
          <w:color w:val="auto"/>
          <w:sz w:val="24"/>
          <w:highlight w:val="none"/>
          <w:lang w:val="en-US" w:eastAsia="zh-CN"/>
        </w:rPr>
        <w:t xml:space="preserve">项目</w:t>
      </w:r>
      <w:r>
        <w:rPr>
          <w:rFonts w:hint="default" w:ascii="Times New Roman" w:hAnsi="Times New Roman" w:eastAsia="仿宋" w:cs="Times New Roman"/>
          <w:bCs/>
          <w:color w:val="auto"/>
          <w:sz w:val="24"/>
          <w:highlight w:val="none"/>
        </w:rPr>
        <w:t xml:space="preserve">编号：</w:t>
      </w:r>
      <w:r/>
    </w:p>
    <w:tbl>
      <w:tblPr>
        <w:tblStyle w:val="866"/>
        <w:tblW w:w="883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725"/>
        <w:gridCol w:w="788"/>
        <w:gridCol w:w="1237"/>
        <w:gridCol w:w="1035"/>
        <w:gridCol w:w="1140"/>
        <w:gridCol w:w="2340"/>
      </w:tblGrid>
      <w:tr>
        <w:trPr>
          <w:trHeight w:val="340"/>
        </w:trPr>
        <w:tc>
          <w:tcPr>
            <w:tcW w:w="569" w:type="dxa"/>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序号</w:t>
            </w:r>
            <w:r/>
          </w:p>
        </w:tc>
        <w:tc>
          <w:tcPr>
            <w:gridSpan w:val="2"/>
            <w:tcW w:w="2513" w:type="dxa"/>
            <w:vAlign w:val="center"/>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产品名称</w:t>
            </w:r>
            <w:r/>
          </w:p>
        </w:tc>
        <w:tc>
          <w:tcPr>
            <w:tcW w:w="1237" w:type="dxa"/>
            <w:vAlign w:val="center"/>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数量</w:t>
            </w:r>
            <w:r/>
          </w:p>
        </w:tc>
        <w:tc>
          <w:tcPr>
            <w:tcW w:w="1035"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单价</w:t>
            </w:r>
            <w:r/>
          </w:p>
        </w:tc>
        <w:tc>
          <w:tcPr>
            <w:tcW w:w="114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合价</w:t>
            </w:r>
            <w:r/>
          </w:p>
        </w:tc>
        <w:tc>
          <w:tcPr>
            <w:tcW w:w="234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Style w:val="1208"/>
                <w:rFonts w:hint="default" w:ascii="Times New Roman" w:hAnsi="Times New Roman" w:eastAsia="仿宋" w:cs="Times New Roman"/>
                <w:b/>
                <w:bCs/>
                <w:color w:val="auto"/>
                <w:sz w:val="24"/>
                <w:highlight w:val="none"/>
              </w:rPr>
              <w:t xml:space="preserve">品牌及</w:t>
            </w:r>
            <w:r>
              <w:rPr>
                <w:rStyle w:val="1208"/>
                <w:rFonts w:hint="eastAsia" w:eastAsia="仿宋" w:cs="Times New Roman"/>
                <w:b/>
                <w:bCs/>
                <w:color w:val="auto"/>
                <w:sz w:val="24"/>
                <w:highlight w:val="none"/>
                <w:lang w:val="en-US"/>
              </w:rPr>
              <w:t xml:space="preserve">规格</w:t>
            </w:r>
            <w:r>
              <w:rPr>
                <w:rStyle w:val="1208"/>
                <w:rFonts w:hint="default" w:ascii="Times New Roman" w:hAnsi="Times New Roman" w:eastAsia="仿宋" w:cs="Times New Roman"/>
                <w:b/>
                <w:bCs/>
                <w:color w:val="auto"/>
                <w:sz w:val="24"/>
                <w:highlight w:val="none"/>
              </w:rPr>
              <w:t xml:space="preserve">型号</w:t>
            </w:r>
            <w:r/>
          </w:p>
        </w:tc>
      </w:tr>
      <w:tr>
        <w:trPr>
          <w:trHeight w:val="340"/>
        </w:trPr>
        <w:tc>
          <w:tcPr>
            <w:tcW w:w="569"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w:t>
            </w:r>
            <w:r/>
          </w:p>
        </w:tc>
        <w:tc>
          <w:tcPr>
            <w:gridSpan w:val="2"/>
            <w:tcW w:w="251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37"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35"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3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340"/>
        </w:trPr>
        <w:tc>
          <w:tcPr>
            <w:tcW w:w="569"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w:t>
            </w:r>
            <w:r/>
          </w:p>
        </w:tc>
        <w:tc>
          <w:tcPr>
            <w:gridSpan w:val="2"/>
            <w:tcW w:w="251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37"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35"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3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340"/>
        </w:trPr>
        <w:tc>
          <w:tcPr>
            <w:tcW w:w="569"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w:t>
            </w:r>
            <w:r/>
          </w:p>
        </w:tc>
        <w:tc>
          <w:tcPr>
            <w:gridSpan w:val="2"/>
            <w:tcW w:w="251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37"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35"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3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340"/>
        </w:trPr>
        <w:tc>
          <w:tcPr>
            <w:tcW w:w="569"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w:t>
            </w:r>
            <w:r/>
          </w:p>
        </w:tc>
        <w:tc>
          <w:tcPr>
            <w:gridSpan w:val="2"/>
            <w:tcW w:w="251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37"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35"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3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340"/>
        </w:trPr>
        <w:tc>
          <w:tcPr>
            <w:tcW w:w="569"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gridSpan w:val="2"/>
            <w:tcW w:w="251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37"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35"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3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340"/>
        </w:trPr>
        <w:tc>
          <w:tcPr>
            <w:gridSpan w:val="5"/>
            <w:tcW w:w="5354"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合计</w:t>
            </w:r>
            <w:r/>
          </w:p>
        </w:tc>
        <w:tc>
          <w:tcPr>
            <w:tcW w:w="11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3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340"/>
        </w:trPr>
        <w:tc>
          <w:tcPr>
            <w:gridSpan w:val="2"/>
            <w:tcW w:w="2294"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大写（人民币）</w:t>
            </w:r>
            <w:r/>
          </w:p>
        </w:tc>
        <w:tc>
          <w:tcPr>
            <w:gridSpan w:val="5"/>
            <w:tcW w:w="6540" w:type="dxa"/>
            <w:textDirection w:val="lrTb"/>
            <w:noWrap w:val="false"/>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jc w:val="left"/>
        <w:spacing w:line="360" w:lineRule="auto"/>
        <w:rPr>
          <w:rStyle w:val="1208"/>
          <w:rFonts w:hint="default" w:ascii="Times New Roman" w:hAnsi="Times New Roman" w:eastAsia="仿宋" w:cs="Times New Roman"/>
          <w:color w:val="auto"/>
          <w:sz w:val="24"/>
          <w:highlight w:val="none"/>
          <w:lang w:val="zh-CN"/>
        </w:rPr>
      </w:pPr>
      <w:r>
        <w:rPr>
          <w:rStyle w:val="1208"/>
          <w:rFonts w:hint="default" w:ascii="Times New Roman" w:hAnsi="Times New Roman" w:eastAsia="仿宋" w:cs="Times New Roman"/>
          <w:color w:val="auto"/>
          <w:sz w:val="24"/>
          <w:highlight w:val="none"/>
          <w:lang w:val="zh-CN"/>
        </w:rPr>
        <w:t xml:space="preserve">供应商名称：</w:t>
      </w:r>
      <w:r>
        <w:rPr>
          <w:rStyle w:val="1208"/>
          <w:rFonts w:hint="default" w:ascii="Times New Roman" w:hAnsi="Times New Roman" w:eastAsia="仿宋" w:cs="Times New Roman"/>
          <w:color w:val="auto"/>
          <w:sz w:val="24"/>
          <w:highlight w:val="none"/>
          <w:u w:val="single"/>
          <w:lang w:val="zh-CN"/>
        </w:rPr>
        <w:t xml:space="preserve">                                            </w:t>
      </w:r>
      <w:r>
        <w:rPr>
          <w:rStyle w:val="1208"/>
          <w:rFonts w:hint="default" w:ascii="Times New Roman" w:hAnsi="Times New Roman" w:eastAsia="仿宋" w:cs="Times New Roman"/>
          <w:color w:val="auto"/>
          <w:sz w:val="24"/>
          <w:highlight w:val="none"/>
          <w:lang w:val="zh-CN"/>
        </w:rPr>
        <w:t xml:space="preserve">（盖章）</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Style w:val="1208"/>
          <w:rFonts w:hint="default" w:ascii="Times New Roman" w:hAnsi="Times New Roman" w:eastAsia="仿宋" w:cs="Times New Roman"/>
          <w:b/>
          <w:bCs/>
          <w:color w:val="auto"/>
          <w:sz w:val="24"/>
          <w:highlight w:val="none"/>
        </w:rPr>
      </w:pPr>
      <w:r>
        <w:rPr>
          <w:rStyle w:val="1208"/>
          <w:rFonts w:hint="default" w:ascii="Times New Roman" w:hAnsi="Times New Roman" w:eastAsia="仿宋" w:cs="Times New Roman"/>
          <w:b/>
          <w:bCs/>
          <w:color w:val="auto"/>
          <w:sz w:val="24"/>
          <w:highlight w:val="none"/>
        </w:rPr>
        <w:t xml:space="preserve">注：</w:t>
      </w:r>
      <w:r>
        <w:rPr>
          <w:rFonts w:hint="default" w:ascii="Times New Roman" w:hAnsi="Times New Roman" w:eastAsia="仿宋" w:cs="Times New Roman"/>
          <w:color w:val="auto"/>
          <w:sz w:val="24"/>
          <w:highlight w:val="none"/>
          <w:lang w:val="zh-CN"/>
        </w:rPr>
        <w:t xml:space="preserve">如果行数不够，请自行增加。</w:t>
      </w:r>
      <w:r/>
    </w:p>
    <w:p>
      <w:pPr>
        <w:spacing w:line="360" w:lineRule="auto"/>
        <w:rPr>
          <w:rStyle w:val="1208"/>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p>
      <w:pPr>
        <w:pStyle w:val="877"/>
        <w:ind w:firstLine="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r>
      <w:r/>
    </w:p>
    <w:p>
      <w:pPr>
        <w:jc w:val="left"/>
        <w:spacing w:line="360" w:lineRule="auto"/>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特别注意：</w:t>
      </w:r>
      <w:r/>
    </w:p>
    <w:p>
      <w:pPr>
        <w:ind w:firstLine="482"/>
        <w:jc w:val="left"/>
        <w:spacing w:line="360" w:lineRule="auto"/>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一、依据苏财购〔2025〕62号《关于推动解决政府采购异常低价问题相关工作的通知》，供应商的报价如出现下列情形之一的，评审委员会将会启动异常低价投标审查程序：</w:t>
      </w:r>
      <w:r/>
    </w:p>
    <w:p>
      <w:pPr>
        <w:ind w:firstLine="482"/>
        <w:jc w:val="left"/>
        <w:spacing w:line="360" w:lineRule="auto"/>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bidi="ar"/>
        </w:rPr>
        <w:t xml:space="preserve">1．投标报价低于采购项目预算50%的，即投标报价&lt;采购项目预算×50% ； </w:t>
      </w:r>
      <w:r/>
    </w:p>
    <w:p>
      <w:pPr>
        <w:ind w:firstLine="482"/>
        <w:jc w:val="left"/>
        <w:spacing w:line="360" w:lineRule="auto"/>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bidi="ar"/>
        </w:rPr>
        <w:t xml:space="preserve">2．投标报价低于采购项目最高限价45%的，即投标报价&lt;采购项目最高限价×45% ； </w:t>
      </w:r>
      <w:r/>
    </w:p>
    <w:p>
      <w:pPr>
        <w:ind w:firstLine="482"/>
        <w:jc w:val="left"/>
        <w:spacing w:line="360" w:lineRule="auto"/>
        <w:widowControl/>
        <w:rPr>
          <w:rFonts w:hint="default" w:ascii="Times New Roman" w:hAnsi="Times New Roman" w:eastAsia="仿宋" w:cs="Times New Roman"/>
          <w:b/>
          <w:bCs/>
          <w:color w:val="auto"/>
          <w:sz w:val="24"/>
          <w:highlight w:val="none"/>
          <w:lang w:bidi="ar"/>
        </w:rPr>
      </w:pPr>
      <w:r>
        <w:rPr>
          <w:rFonts w:hint="default" w:ascii="Times New Roman" w:hAnsi="Times New Roman" w:eastAsia="仿宋" w:cs="Times New Roman"/>
          <w:b/>
          <w:bCs/>
          <w:color w:val="auto"/>
          <w:sz w:val="24"/>
          <w:highlight w:val="none"/>
          <w:lang w:bidi="ar"/>
        </w:rPr>
        <w:t xml:space="preserve">3．评审委员会认定的供应商报价过低、有可能影响产品质量或者不能诚信履约的其他情形。</w:t>
      </w:r>
      <w:r/>
    </w:p>
    <w:p>
      <w:pPr>
        <w:ind w:firstLine="482"/>
        <w:jc w:val="left"/>
        <w:spacing w:line="360" w:lineRule="auto"/>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二、启动异常低价投标审查后，评审委员会将会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将其作为无效投标处理。</w:t>
      </w:r>
      <w:r>
        <w:rPr>
          <w:rFonts w:hint="default" w:ascii="Times New Roman" w:hAnsi="Times New Roman" w:eastAsia="仿宋" w:cs="Times New Roman"/>
          <w:b/>
          <w:bCs/>
          <w:color w:val="auto"/>
          <w:sz w:val="24"/>
          <w:highlight w:val="none"/>
        </w:rPr>
        <w:br w:type="page" w:clear="all"/>
      </w:r>
      <w:r/>
    </w:p>
    <w:p>
      <w:pPr>
        <w:jc w:val="left"/>
        <w:spacing w:after="240" w:line="360" w:lineRule="auto"/>
        <w:shd w:val="clear" w:color="auto" w:fill="ffffff"/>
        <w:widowControl/>
        <w:rPr>
          <w:rFonts w:hint="default" w:ascii="Times New Roman" w:hAnsi="Times New Roman" w:eastAsia="仿宋" w:cs="Times New Roman"/>
          <w:color w:val="auto"/>
          <w:sz w:val="24"/>
          <w:highlight w:val="none"/>
        </w:rPr>
        <w:outlineLvl w:val="2"/>
      </w:pPr>
      <w:r/>
      <w:bookmarkStart w:id="175" w:name="_Toc4274"/>
      <w:r>
        <w:rPr>
          <w:rFonts w:hint="default" w:ascii="Times New Roman" w:hAnsi="Times New Roman" w:eastAsia="仿宋" w:cs="Times New Roman"/>
          <w:b/>
          <w:bCs/>
          <w:color w:val="auto"/>
          <w:sz w:val="24"/>
          <w:highlight w:val="none"/>
        </w:rPr>
        <w:t xml:space="preserve">5、技术条款偏离表格式</w:t>
      </w:r>
      <w:bookmarkEnd w:id="175"/>
      <w:r/>
      <w:r/>
    </w:p>
    <w:p>
      <w:pPr>
        <w:ind w:left="420"/>
        <w:jc w:val="center"/>
        <w:spacing w:line="360" w:lineRule="auto"/>
        <w:shd w:val="clear" w:color="auto" w:fill="ffffff"/>
        <w:widowControl/>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b/>
          <w:color w:val="auto"/>
          <w:sz w:val="32"/>
          <w:szCs w:val="32"/>
          <w:highlight w:val="none"/>
        </w:rPr>
        <w:t xml:space="preserve">技术条款偏离表</w:t>
      </w:r>
      <w:r/>
    </w:p>
    <w:tbl>
      <w:tblPr>
        <w:tblStyle w:val="827"/>
        <w:tblW w:w="9199" w:type="dxa"/>
        <w:jc w:val="center"/>
        <w:tblLayout w:type="fixed"/>
        <w:tblCellMar>
          <w:left w:w="0" w:type="dxa"/>
          <w:top w:w="0" w:type="dxa"/>
          <w:right w:w="0" w:type="dxa"/>
          <w:bottom w:w="0" w:type="dxa"/>
        </w:tblCellMar>
        <w:tblLook w:val="04A0" w:firstRow="1" w:lastRow="0" w:firstColumn="1" w:lastColumn="0" w:noHBand="0" w:noVBand="1"/>
      </w:tblPr>
      <w:tblGrid>
        <w:gridCol w:w="677"/>
        <w:gridCol w:w="2150"/>
        <w:gridCol w:w="1695"/>
        <w:gridCol w:w="1442"/>
        <w:gridCol w:w="890"/>
        <w:gridCol w:w="2345"/>
      </w:tblGrid>
      <w:tr>
        <w:trPr>
          <w:jc w:val="center"/>
          <w:trHeight w:val="616"/>
        </w:trPr>
        <w:tc>
          <w:tcPr>
            <w:gridSpan w:val="5"/>
            <w:tcBorders>
              <w:top w:val="none" w:color="000000" w:sz="4" w:space="0"/>
              <w:left w:val="none" w:color="000000" w:sz="4" w:space="0"/>
              <w:bottom w:val="single" w:color="auto" w:sz="6" w:space="0"/>
              <w:right w:val="none" w:color="000000" w:sz="4" w:space="0"/>
            </w:tcBorders>
            <w:tcW w:w="6854" w:type="dxa"/>
            <w:vAlign w:val="center"/>
            <w:textDirection w:val="lrTb"/>
            <w:noWrap w:val="false"/>
          </w:tcPr>
          <w:p>
            <w:pPr>
              <w:jc w:val="left"/>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Cs w:val="21"/>
                <w:highlight w:val="none"/>
              </w:rPr>
              <w:t xml:space="preserve">       </w:t>
            </w:r>
            <w:r>
              <w:rPr>
                <w:rFonts w:hint="default" w:ascii="Times New Roman" w:hAnsi="Times New Roman" w:eastAsia="仿宋" w:cs="Times New Roman"/>
                <w:color w:val="auto"/>
                <w:sz w:val="24"/>
                <w:highlight w:val="none"/>
                <w:lang w:val="zh-CN"/>
              </w:rPr>
              <w:t xml:space="preserve">项目名称：</w:t>
            </w:r>
            <w:r/>
          </w:p>
        </w:tc>
        <w:tc>
          <w:tcPr>
            <w:tcBorders>
              <w:top w:val="none" w:color="000000" w:sz="4" w:space="0"/>
              <w:left w:val="none" w:color="000000" w:sz="4" w:space="0"/>
              <w:bottom w:val="single" w:color="auto" w:sz="6" w:space="0"/>
              <w:right w:val="none" w:color="000000" w:sz="4" w:space="0"/>
            </w:tcBorders>
            <w:tcW w:w="2345" w:type="dxa"/>
            <w:vAlign w:val="center"/>
            <w:textDirection w:val="lrTb"/>
            <w:noWrap w:val="false"/>
          </w:tcPr>
          <w:p>
            <w:pP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项目编号：</w:t>
            </w:r>
            <w:r/>
          </w:p>
        </w:tc>
      </w:tr>
      <w:tr>
        <w:trPr>
          <w:jc w:val="center"/>
          <w:trHeight w:val="283"/>
        </w:trPr>
        <w:tc>
          <w:tcPr>
            <w:tcBorders>
              <w:top w:val="single" w:color="auto" w:sz="6" w:space="0"/>
              <w:left w:val="single" w:color="auto" w:sz="6" w:space="0"/>
              <w:bottom w:val="single" w:color="auto" w:sz="6" w:space="0"/>
              <w:right w:val="single" w:color="auto" w:sz="6" w:space="0"/>
            </w:tcBorders>
            <w:tcW w:w="67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15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rPr>
              <w:t xml:space="preserve">采购</w:t>
            </w:r>
            <w:r>
              <w:rPr>
                <w:rFonts w:hint="default" w:ascii="Times New Roman" w:hAnsi="Times New Roman" w:eastAsia="仿宋" w:cs="Times New Roman"/>
                <w:color w:val="auto"/>
                <w:sz w:val="24"/>
                <w:highlight w:val="none"/>
                <w:lang w:val="zh-CN"/>
              </w:rPr>
              <w:t xml:space="preserve">文件条目号</w:t>
            </w:r>
            <w:r/>
          </w:p>
        </w:tc>
        <w:tc>
          <w:tcPr>
            <w:tcBorders>
              <w:top w:val="single" w:color="auto" w:sz="6" w:space="0"/>
              <w:left w:val="single" w:color="auto" w:sz="6" w:space="0"/>
              <w:bottom w:val="single" w:color="auto" w:sz="6" w:space="0"/>
              <w:right w:val="single" w:color="auto" w:sz="6" w:space="0"/>
            </w:tcBorders>
            <w:tcW w:w="1695"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采购文件要求的技术条款</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投标响应</w:t>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偏离</w:t>
            </w:r>
            <w:r/>
          </w:p>
        </w:tc>
        <w:tc>
          <w:tcPr>
            <w:tcBorders>
              <w:top w:val="single" w:color="auto" w:sz="6" w:space="0"/>
              <w:left w:val="single" w:color="auto" w:sz="6" w:space="0"/>
              <w:bottom w:val="single" w:color="auto" w:sz="6" w:space="0"/>
              <w:right w:val="single" w:color="auto" w:sz="6" w:space="0"/>
            </w:tcBorders>
            <w:tcW w:w="234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偏离情况详细说明</w:t>
            </w:r>
            <w:r/>
          </w:p>
        </w:tc>
      </w:tr>
      <w:tr>
        <w:trPr>
          <w:jc w:val="center"/>
          <w:trHeight w:val="283"/>
        </w:trPr>
        <w:tc>
          <w:tcPr>
            <w:tcBorders>
              <w:top w:val="single" w:color="auto" w:sz="6" w:space="0"/>
              <w:left w:val="single" w:color="auto" w:sz="6" w:space="0"/>
              <w:bottom w:val="single" w:color="auto" w:sz="6" w:space="0"/>
              <w:right w:val="single" w:color="auto" w:sz="6" w:space="0"/>
            </w:tcBorders>
            <w:tcW w:w="67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15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69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345"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highlight w:val="none"/>
              </w:rPr>
              <w:t xml:space="preserve">各技术参数如需要提供白皮书、彩页、手册、测试报告等证明材料的，需标注出在投标文件中对应的页码，并在所附证明材料中用方框框出对应条款</w:t>
            </w:r>
            <w:r/>
          </w:p>
        </w:tc>
      </w:tr>
      <w:tr>
        <w:trPr>
          <w:jc w:val="center"/>
          <w:trHeight w:val="283"/>
        </w:trPr>
        <w:tc>
          <w:tcPr>
            <w:tcBorders>
              <w:top w:val="single" w:color="auto" w:sz="6" w:space="0"/>
              <w:left w:val="single" w:color="auto" w:sz="6" w:space="0"/>
              <w:bottom w:val="single" w:color="auto" w:sz="6" w:space="0"/>
              <w:right w:val="single" w:color="auto" w:sz="6" w:space="0"/>
            </w:tcBorders>
            <w:tcW w:w="67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15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69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34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283"/>
        </w:trPr>
        <w:tc>
          <w:tcPr>
            <w:tcBorders>
              <w:top w:val="single" w:color="auto" w:sz="6" w:space="0"/>
              <w:left w:val="single" w:color="auto" w:sz="6" w:space="0"/>
              <w:bottom w:val="single" w:color="auto" w:sz="6" w:space="0"/>
              <w:right w:val="single" w:color="auto" w:sz="6" w:space="0"/>
            </w:tcBorders>
            <w:tcW w:w="67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15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69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34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283"/>
        </w:trPr>
        <w:tc>
          <w:tcPr>
            <w:tcBorders>
              <w:top w:val="single" w:color="auto" w:sz="6" w:space="0"/>
              <w:left w:val="single" w:color="auto" w:sz="6" w:space="0"/>
              <w:bottom w:val="single" w:color="auto" w:sz="6" w:space="0"/>
              <w:right w:val="single" w:color="auto" w:sz="6" w:space="0"/>
            </w:tcBorders>
            <w:tcW w:w="67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15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69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34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283"/>
        </w:trPr>
        <w:tc>
          <w:tcPr>
            <w:tcBorders>
              <w:top w:val="single" w:color="auto" w:sz="6" w:space="0"/>
              <w:left w:val="single" w:color="auto" w:sz="6" w:space="0"/>
              <w:bottom w:val="single" w:color="auto" w:sz="6" w:space="0"/>
              <w:right w:val="single" w:color="auto" w:sz="6" w:space="0"/>
            </w:tcBorders>
            <w:tcW w:w="677"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15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69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345" w:type="dxa"/>
            <w:vAlign w:val="center"/>
            <w:textDirection w:val="lrTb"/>
            <w:noWrap w:val="false"/>
          </w:tcPr>
          <w:p>
            <w:pPr>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说明：</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zh-CN"/>
        </w:rPr>
        <w:t xml:space="preserve">、如果行数不够，请自行增加。</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2、“偏离”栏应注明“无偏离”或“正偏离”或“负偏离”。</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3、供应商</w:t>
      </w:r>
      <w:r>
        <w:rPr>
          <w:rFonts w:hint="default" w:ascii="Times New Roman" w:hAnsi="Times New Roman" w:eastAsia="仿宋" w:cs="Times New Roman"/>
          <w:color w:val="auto"/>
          <w:sz w:val="24"/>
          <w:highlight w:val="none"/>
          <w:lang w:val="zh-CN"/>
        </w:rPr>
        <w:t xml:space="preserve">应在上表中明确</w:t>
      </w:r>
      <w:r>
        <w:rPr>
          <w:rFonts w:hint="eastAsia" w:eastAsia="仿宋" w:cs="Times New Roman"/>
          <w:color w:val="auto"/>
          <w:sz w:val="24"/>
          <w:highlight w:val="none"/>
          <w:lang w:val="en-US" w:eastAsia="zh-CN"/>
        </w:rPr>
        <w:t xml:space="preserve">投标</w:t>
      </w:r>
      <w:r>
        <w:rPr>
          <w:rFonts w:hint="default" w:ascii="Times New Roman" w:hAnsi="Times New Roman" w:eastAsia="仿宋" w:cs="Times New Roman"/>
          <w:color w:val="auto"/>
          <w:sz w:val="24"/>
          <w:highlight w:val="none"/>
          <w:lang w:val="zh-CN"/>
        </w:rPr>
        <w:t xml:space="preserve">文件</w:t>
      </w:r>
      <w:r>
        <w:rPr>
          <w:rFonts w:hint="default" w:ascii="Times New Roman" w:hAnsi="Times New Roman" w:eastAsia="仿宋" w:cs="Times New Roman"/>
          <w:color w:val="auto"/>
          <w:sz w:val="24"/>
          <w:highlight w:val="none"/>
        </w:rPr>
        <w:t xml:space="preserve">技术</w:t>
      </w:r>
      <w:r>
        <w:rPr>
          <w:rFonts w:hint="default" w:ascii="Times New Roman" w:hAnsi="Times New Roman" w:eastAsia="仿宋" w:cs="Times New Roman"/>
          <w:color w:val="auto"/>
          <w:sz w:val="24"/>
          <w:highlight w:val="none"/>
          <w:lang w:val="zh-CN"/>
        </w:rPr>
        <w:t xml:space="preserve">部分与</w:t>
      </w:r>
      <w:r>
        <w:rPr>
          <w:rFonts w:hint="default" w:ascii="Times New Roman" w:hAnsi="Times New Roman" w:eastAsia="仿宋" w:cs="Times New Roman"/>
          <w:color w:val="auto"/>
          <w:sz w:val="24"/>
          <w:highlight w:val="none"/>
        </w:rPr>
        <w:t xml:space="preserve">采购</w:t>
      </w:r>
      <w:r>
        <w:rPr>
          <w:rFonts w:hint="default" w:ascii="Times New Roman" w:hAnsi="Times New Roman" w:eastAsia="仿宋" w:cs="Times New Roman"/>
          <w:color w:val="auto"/>
          <w:sz w:val="24"/>
          <w:highlight w:val="none"/>
          <w:lang w:val="zh-CN"/>
        </w:rPr>
        <w:t xml:space="preserve">文件要求的</w:t>
      </w:r>
      <w:r>
        <w:rPr>
          <w:rFonts w:hint="default" w:ascii="Times New Roman" w:hAnsi="Times New Roman" w:eastAsia="仿宋" w:cs="Times New Roman"/>
          <w:color w:val="auto"/>
          <w:sz w:val="24"/>
          <w:highlight w:val="none"/>
        </w:rPr>
        <w:t xml:space="preserve">技术</w:t>
      </w:r>
      <w:r>
        <w:rPr>
          <w:rFonts w:hint="default" w:ascii="Times New Roman" w:hAnsi="Times New Roman" w:eastAsia="仿宋" w:cs="Times New Roman"/>
          <w:color w:val="auto"/>
          <w:sz w:val="24"/>
          <w:highlight w:val="none"/>
          <w:lang w:val="zh-CN"/>
        </w:rPr>
        <w:t xml:space="preserve">条款偏离情况，如有偏离（包括正偏离和负偏离）,</w:t>
      </w:r>
      <w:r>
        <w:rPr>
          <w:rFonts w:hint="default" w:ascii="Times New Roman" w:hAnsi="Times New Roman" w:eastAsia="仿宋" w:cs="Times New Roman"/>
          <w:color w:val="auto"/>
          <w:sz w:val="24"/>
          <w:highlight w:val="none"/>
        </w:rPr>
        <w:t xml:space="preserve">供应商</w:t>
      </w:r>
      <w:r>
        <w:rPr>
          <w:rFonts w:hint="default" w:ascii="Times New Roman" w:hAnsi="Times New Roman" w:eastAsia="仿宋" w:cs="Times New Roman"/>
          <w:color w:val="auto"/>
          <w:sz w:val="24"/>
          <w:highlight w:val="none"/>
          <w:lang w:val="zh-CN"/>
        </w:rPr>
        <w:t xml:space="preserve">应详细说明</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zh-CN"/>
        </w:rPr>
        <w:t xml:space="preserve">偏离情况详细说明可另页描述，但须在“偏离情况详细说明”栏标注其在</w:t>
      </w:r>
      <w:r>
        <w:rPr>
          <w:rFonts w:hint="eastAsia" w:eastAsia="仿宋" w:cs="Times New Roman"/>
          <w:color w:val="auto"/>
          <w:sz w:val="24"/>
          <w:highlight w:val="none"/>
          <w:lang w:val="en-US" w:eastAsia="zh-CN"/>
        </w:rPr>
        <w:t xml:space="preserve">投标</w:t>
      </w:r>
      <w:r>
        <w:rPr>
          <w:rFonts w:hint="default" w:ascii="Times New Roman" w:hAnsi="Times New Roman" w:eastAsia="仿宋" w:cs="Times New Roman"/>
          <w:color w:val="auto"/>
          <w:sz w:val="24"/>
          <w:highlight w:val="none"/>
          <w:lang w:val="zh-CN"/>
        </w:rPr>
        <w:t xml:space="preserve">文件对应的页码，</w:t>
      </w:r>
      <w:r>
        <w:rPr>
          <w:rFonts w:hint="default" w:ascii="Times New Roman" w:hAnsi="Times New Roman" w:eastAsia="仿宋" w:cs="Times New Roman"/>
          <w:color w:val="auto"/>
          <w:sz w:val="24"/>
          <w:highlight w:val="none"/>
        </w:rPr>
        <w:t xml:space="preserve">并在证明材料中用方框框出对应条款。本</w:t>
      </w:r>
      <w:r>
        <w:rPr>
          <w:rFonts w:hint="default" w:ascii="Times New Roman" w:hAnsi="Times New Roman" w:eastAsia="仿宋" w:cs="Times New Roman"/>
          <w:color w:val="auto"/>
          <w:sz w:val="24"/>
          <w:highlight w:val="none"/>
          <w:lang w:val="zh-CN"/>
        </w:rPr>
        <w:t xml:space="preserve">表不作为</w:t>
      </w:r>
      <w:r>
        <w:rPr>
          <w:rFonts w:hint="default" w:ascii="Times New Roman" w:hAnsi="Times New Roman" w:eastAsia="仿宋" w:cs="Times New Roman"/>
          <w:color w:val="auto"/>
          <w:sz w:val="24"/>
          <w:highlight w:val="none"/>
        </w:rPr>
        <w:t xml:space="preserve">供应商</w:t>
      </w:r>
      <w:r>
        <w:rPr>
          <w:rFonts w:hint="default" w:ascii="Times New Roman" w:hAnsi="Times New Roman" w:eastAsia="仿宋" w:cs="Times New Roman"/>
          <w:color w:val="auto"/>
          <w:sz w:val="24"/>
          <w:highlight w:val="none"/>
          <w:lang w:val="zh-CN"/>
        </w:rPr>
        <w:t xml:space="preserve">对所投项目关于</w:t>
      </w:r>
      <w:r>
        <w:rPr>
          <w:rFonts w:hint="default" w:ascii="Times New Roman" w:hAnsi="Times New Roman" w:eastAsia="仿宋" w:cs="Times New Roman"/>
          <w:color w:val="auto"/>
          <w:sz w:val="24"/>
          <w:highlight w:val="none"/>
        </w:rPr>
        <w:t xml:space="preserve">技术</w:t>
      </w:r>
      <w:r>
        <w:rPr>
          <w:rFonts w:hint="default" w:ascii="Times New Roman" w:hAnsi="Times New Roman" w:eastAsia="仿宋" w:cs="Times New Roman"/>
          <w:color w:val="auto"/>
          <w:sz w:val="24"/>
          <w:highlight w:val="none"/>
          <w:lang w:val="zh-CN"/>
        </w:rPr>
        <w:t xml:space="preserve">条款等详细描述和说明的替代。</w:t>
      </w:r>
      <w:r>
        <w:rPr>
          <w:rFonts w:hint="default" w:ascii="Times New Roman" w:hAnsi="Times New Roman" w:eastAsia="仿宋" w:cs="Times New Roman"/>
          <w:color w:val="auto"/>
          <w:sz w:val="24"/>
          <w:highlight w:val="none"/>
        </w:rPr>
        <w:t xml:space="preserve">供应商须按要求填写技术响应表，否则造成错漏责任自负。</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4、本表所称技术条款主要针对采购文件第四章采购项目需求中的相关技术参数要求等逐一说明，按照要求提供产品说明书或检测报告等。</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after="240" w:line="360" w:lineRule="auto"/>
        <w:shd w:val="clear" w:color="auto" w:fill="ffffff"/>
        <w:widowControl/>
        <w:rPr>
          <w:rFonts w:hint="default" w:ascii="Times New Roman" w:hAnsi="Times New Roman" w:eastAsia="仿宋" w:cs="Times New Roman"/>
          <w:color w:val="auto"/>
          <w:sz w:val="24"/>
          <w:highlight w:val="none"/>
        </w:rPr>
        <w:outlineLvl w:val="2"/>
      </w:pPr>
      <w:r>
        <w:rPr>
          <w:rFonts w:hint="default" w:ascii="Times New Roman" w:hAnsi="Times New Roman" w:eastAsia="仿宋" w:cs="Times New Roman"/>
          <w:b/>
          <w:bCs/>
          <w:color w:val="auto"/>
          <w:szCs w:val="21"/>
          <w:highlight w:val="none"/>
        </w:rPr>
        <w:br w:type="page" w:clear="all"/>
      </w:r>
      <w:bookmarkStart w:id="176" w:name="_Toc961"/>
      <w:r>
        <w:rPr>
          <w:rFonts w:hint="default" w:ascii="Times New Roman" w:hAnsi="Times New Roman" w:eastAsia="仿宋" w:cs="Times New Roman"/>
          <w:b/>
          <w:bCs/>
          <w:color w:val="auto"/>
          <w:szCs w:val="21"/>
          <w:highlight w:val="none"/>
        </w:rPr>
        <w:t xml:space="preserve">6</w:t>
      </w:r>
      <w:r>
        <w:rPr>
          <w:rFonts w:hint="default" w:ascii="Times New Roman" w:hAnsi="Times New Roman" w:eastAsia="仿宋" w:cs="Times New Roman"/>
          <w:b/>
          <w:bCs/>
          <w:color w:val="auto"/>
          <w:sz w:val="24"/>
          <w:highlight w:val="none"/>
        </w:rPr>
        <w:t xml:space="preserve">、商务条款偏离表格式</w:t>
      </w:r>
      <w:bookmarkEnd w:id="176"/>
      <w:r/>
      <w:r/>
    </w:p>
    <w:p>
      <w:pPr>
        <w:jc w:val="center"/>
        <w:spacing w:line="360" w:lineRule="auto"/>
        <w:shd w:val="clear" w:color="auto" w:fill="ffffff"/>
        <w:widowControl/>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b/>
          <w:color w:val="auto"/>
          <w:sz w:val="32"/>
          <w:szCs w:val="32"/>
          <w:highlight w:val="none"/>
        </w:rPr>
        <w:t xml:space="preserve">商务条款偏离表</w:t>
      </w:r>
      <w:r/>
    </w:p>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项目名称：</w:t>
      </w:r>
      <w:r>
        <w:rPr>
          <w:rFonts w:hint="default" w:ascii="Times New Roman" w:hAnsi="Times New Roman" w:eastAsia="仿宋" w:cs="Times New Roman"/>
          <w:color w:val="auto"/>
          <w:sz w:val="24"/>
          <w:highlight w:val="none"/>
        </w:rPr>
        <w:tab/>
      </w:r>
      <w:r>
        <w:rPr>
          <w:rFonts w:hint="default" w:ascii="Times New Roman" w:hAnsi="Times New Roman" w:eastAsia="仿宋" w:cs="Times New Roman"/>
          <w:color w:val="auto"/>
          <w:sz w:val="24"/>
          <w:highlight w:val="none"/>
        </w:rPr>
        <w:t xml:space="preserve">                                 项目编号：         </w:t>
      </w:r>
      <w:r/>
    </w:p>
    <w:tbl>
      <w:tblPr>
        <w:tblStyle w:val="827"/>
        <w:tblW w:w="8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82"/>
        <w:gridCol w:w="1763"/>
        <w:gridCol w:w="2700"/>
        <w:gridCol w:w="2363"/>
        <w:gridCol w:w="1094"/>
      </w:tblGrid>
      <w:tr>
        <w:trPr>
          <w:jc w:val="center"/>
          <w:trHeight w:val="496"/>
        </w:trPr>
        <w:tc>
          <w:tcPr>
            <w:tcMar>
              <w:left w:w="10" w:type="dxa"/>
              <w:top w:w="0" w:type="dxa"/>
              <w:right w:w="10" w:type="dxa"/>
              <w:bottom w:w="0" w:type="dxa"/>
            </w:tcMar>
            <w:tcW w:w="682"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序号</w:t>
            </w:r>
            <w:r/>
          </w:p>
        </w:tc>
        <w:tc>
          <w:tcPr>
            <w:tcMar>
              <w:left w:w="10" w:type="dxa"/>
              <w:top w:w="0" w:type="dxa"/>
              <w:right w:w="10" w:type="dxa"/>
              <w:bottom w:w="0" w:type="dxa"/>
            </w:tcMar>
            <w:tcW w:w="1763"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采购文件条目号</w:t>
            </w:r>
            <w:r/>
          </w:p>
        </w:tc>
        <w:tc>
          <w:tcPr>
            <w:tcMar>
              <w:left w:w="10" w:type="dxa"/>
              <w:top w:w="0" w:type="dxa"/>
              <w:right w:w="10" w:type="dxa"/>
              <w:bottom w:w="0" w:type="dxa"/>
            </w:tcMar>
            <w:tcW w:w="2700"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采购文件要求的商务条款</w:t>
            </w:r>
            <w:r/>
          </w:p>
        </w:tc>
        <w:tc>
          <w:tcPr>
            <w:tcMar>
              <w:left w:w="10" w:type="dxa"/>
              <w:top w:w="0" w:type="dxa"/>
              <w:right w:w="10" w:type="dxa"/>
              <w:bottom w:w="0" w:type="dxa"/>
            </w:tcMar>
            <w:tcW w:w="2363"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投标响应</w:t>
            </w:r>
            <w:r/>
          </w:p>
        </w:tc>
        <w:tc>
          <w:tcPr>
            <w:tcMar>
              <w:left w:w="10" w:type="dxa"/>
              <w:top w:w="0" w:type="dxa"/>
              <w:right w:w="10" w:type="dxa"/>
              <w:bottom w:w="0" w:type="dxa"/>
            </w:tcMar>
            <w:tcW w:w="1094"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偏离</w:t>
            </w:r>
            <w:r/>
          </w:p>
        </w:tc>
      </w:tr>
      <w:tr>
        <w:trPr>
          <w:jc w:val="center"/>
          <w:trHeight w:val="284"/>
        </w:trPr>
        <w:tc>
          <w:tcPr>
            <w:tcMar>
              <w:left w:w="10" w:type="dxa"/>
              <w:top w:w="0" w:type="dxa"/>
              <w:right w:w="10" w:type="dxa"/>
              <w:bottom w:w="0" w:type="dxa"/>
            </w:tcMar>
            <w:tcW w:w="682"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094"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682"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094"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682"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094"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682"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094"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682"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094"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682"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094"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jc w:val="center"/>
          <w:trHeight w:val="284"/>
        </w:trPr>
        <w:tc>
          <w:tcPr>
            <w:tcMar>
              <w:left w:w="10" w:type="dxa"/>
              <w:top w:w="0" w:type="dxa"/>
              <w:right w:w="10" w:type="dxa"/>
              <w:bottom w:w="0" w:type="dxa"/>
            </w:tcMar>
            <w:tcW w:w="682"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094"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说明：如果行数不够，请自行增加。</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jc w:val="left"/>
        <w:spacing w:after="240" w:line="360" w:lineRule="auto"/>
        <w:shd w:val="clear" w:color="auto" w:fill="ffffff"/>
        <w:widowControl/>
        <w:rPr>
          <w:rFonts w:hint="default" w:ascii="Times New Roman" w:hAnsi="Times New Roman" w:eastAsia="仿宋" w:cs="Times New Roman"/>
          <w:b/>
          <w:bCs/>
          <w:color w:val="auto"/>
          <w:sz w:val="24"/>
          <w:highlight w:val="none"/>
          <w:lang w:val="zh-CN"/>
        </w:rPr>
        <w:outlineLvl w:val="2"/>
      </w:pPr>
      <w:r>
        <w:rPr>
          <w:rFonts w:hint="default" w:ascii="Times New Roman" w:hAnsi="Times New Roman" w:eastAsia="仿宋" w:cs="Times New Roman"/>
          <w:b/>
          <w:bCs/>
          <w:color w:val="auto"/>
          <w:szCs w:val="21"/>
          <w:highlight w:val="none"/>
        </w:rPr>
        <w:br w:type="page" w:clear="all"/>
      </w:r>
      <w:bookmarkStart w:id="177" w:name="_Toc28961"/>
      <w:r>
        <w:rPr>
          <w:rFonts w:hint="default" w:ascii="Times New Roman" w:hAnsi="Times New Roman" w:eastAsia="仿宋" w:cs="Times New Roman"/>
          <w:b/>
          <w:bCs/>
          <w:color w:val="auto"/>
          <w:szCs w:val="21"/>
          <w:highlight w:val="none"/>
        </w:rPr>
        <w:t xml:space="preserve">7</w:t>
      </w:r>
      <w:r>
        <w:rPr>
          <w:rFonts w:hint="default" w:ascii="Times New Roman" w:hAnsi="Times New Roman" w:eastAsia="仿宋" w:cs="Times New Roman"/>
          <w:b/>
          <w:bCs/>
          <w:color w:val="auto"/>
          <w:sz w:val="24"/>
          <w:highlight w:val="none"/>
        </w:rPr>
        <w:t xml:space="preserve">、采购文件要求及投标人认为需要提供的其他证明文件及材料</w:t>
      </w:r>
      <w:bookmarkEnd w:id="177"/>
      <w:r/>
      <w:r/>
    </w:p>
    <w:p>
      <w:pPr>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br w:type="page" w:clear="all"/>
      </w:r>
      <w:r/>
    </w:p>
    <w:p>
      <w:pPr>
        <w:jc w:val="left"/>
        <w:spacing w:line="360" w:lineRule="auto"/>
        <w:shd w:val="clear" w:color="auto" w:fill="ffffff"/>
        <w:widowControl/>
        <w:rPr>
          <w:rFonts w:hint="default" w:ascii="Times New Roman" w:hAnsi="Times New Roman" w:eastAsia="仿宋" w:cs="Times New Roman"/>
          <w:b/>
          <w:color w:val="auto"/>
          <w:sz w:val="24"/>
          <w:highlight w:val="none"/>
        </w:rPr>
        <w:outlineLvl w:val="1"/>
      </w:pPr>
      <w:r/>
      <w:bookmarkStart w:id="178" w:name="_Toc17420"/>
      <w:r>
        <w:rPr>
          <w:rFonts w:hint="default" w:ascii="Times New Roman" w:hAnsi="Times New Roman" w:eastAsia="仿宋" w:cs="Times New Roman"/>
          <w:b/>
          <w:color w:val="auto"/>
          <w:sz w:val="24"/>
          <w:highlight w:val="none"/>
        </w:rPr>
        <w:t xml:space="preserve">二、资格文件</w:t>
      </w:r>
      <w:bookmarkEnd w:id="178"/>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 资格证明文件</w:t>
      </w:r>
      <w:r/>
    </w:p>
    <w:p>
      <w:pPr>
        <w:numPr>
          <w:ilvl w:val="0"/>
          <w:numId w:val="16"/>
        </w:numPr>
        <w:ind w:firstLine="480"/>
        <w:spacing w:line="360" w:lineRule="auto"/>
        <w:rPr>
          <w:rFonts w:hint="default" w:ascii="Times New Roman" w:hAnsi="Times New Roman" w:eastAsia="仿宋" w:cs="Times New Roman"/>
          <w:color w:val="auto"/>
          <w:sz w:val="24"/>
          <w:highlight w:val="none"/>
        </w:rPr>
      </w:pPr>
      <w:r/>
      <w:bookmarkStart w:id="179" w:name="_Toc1390"/>
      <w:r/>
      <w:bookmarkStart w:id="180" w:name="_Toc19376"/>
      <w:r/>
      <w:bookmarkStart w:id="181" w:name="_Toc7902"/>
      <w:r>
        <w:rPr>
          <w:rFonts w:hint="default" w:ascii="Times New Roman" w:hAnsi="Times New Roman" w:eastAsia="仿宋" w:cs="Times New Roman"/>
          <w:color w:val="auto"/>
          <w:sz w:val="24"/>
          <w:highlight w:val="none"/>
        </w:rPr>
        <w:t xml:space="preserve">具有独立承担民事责任的能力（法人或者其他组织提供营业执照或法人证书，自然人提供身份证，扫描件</w:t>
      </w:r>
      <w:r>
        <w:rPr>
          <w:rFonts w:hint="default" w:ascii="Times New Roman" w:hAnsi="Times New Roman" w:eastAsia="仿宋" w:cs="Times New Roman"/>
          <w:color w:val="auto"/>
          <w:sz w:val="24"/>
          <w:highlight w:val="none"/>
          <w:lang w:val="zh-CN"/>
        </w:rPr>
        <w:t xml:space="preserve">加盖</w:t>
      </w:r>
      <w:r>
        <w:rPr>
          <w:rFonts w:hint="default" w:ascii="Times New Roman" w:hAnsi="Times New Roman" w:eastAsia="仿宋" w:cs="Times New Roman"/>
          <w:color w:val="auto"/>
          <w:sz w:val="24"/>
          <w:highlight w:val="none"/>
        </w:rPr>
        <w:t xml:space="preserve">电子</w:t>
      </w:r>
      <w:r>
        <w:rPr>
          <w:rFonts w:hint="default" w:ascii="Times New Roman" w:hAnsi="Times New Roman" w:eastAsia="仿宋" w:cs="Times New Roman"/>
          <w:color w:val="auto"/>
          <w:sz w:val="24"/>
          <w:highlight w:val="none"/>
          <w:lang w:val="zh-CN"/>
        </w:rPr>
        <w:t xml:space="preserve">公章）；</w:t>
      </w:r>
      <w:r/>
    </w:p>
    <w:p>
      <w:pPr>
        <w:numPr>
          <w:ilvl w:val="0"/>
          <w:numId w:val="16"/>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16"/>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16"/>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具有履行合同所必需的设备和专业技术能力（根据项目需求提供履行合同所必需的设备和专业技术能力的声明或证明材料，提供承诺书(格式见附件）加盖电子公章)；</w:t>
      </w:r>
      <w:r/>
    </w:p>
    <w:p>
      <w:pPr>
        <w:pStyle w:val="876"/>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（6）未被列入失信被执行人、重大税收违法案件当事人名单、政府采购严重违法失信行为记录名单的证明材料（提供信用中国</w:t>
      </w:r>
      <w:r>
        <w:rPr>
          <w:rFonts w:hint="eastAsia" w:eastAsia="仿宋" w:cs="Times New Roman"/>
          <w:color w:val="auto"/>
          <w:sz w:val="24"/>
          <w:highlight w:val="none"/>
          <w:lang w:eastAsia="zh-CN"/>
        </w:rPr>
        <w:t xml:space="preserve">、</w:t>
      </w:r>
      <w:r>
        <w:rPr>
          <w:rFonts w:hint="eastAsia" w:eastAsia="仿宋" w:cs="Times New Roman"/>
          <w:color w:val="auto"/>
          <w:sz w:val="24"/>
          <w:highlight w:val="none"/>
          <w:lang w:val="en-US" w:eastAsia="zh-CN"/>
        </w:rPr>
        <w:t xml:space="preserve">政府采购</w:t>
      </w:r>
      <w:r>
        <w:rPr>
          <w:rFonts w:hint="default" w:ascii="Times New Roman" w:hAnsi="Times New Roman" w:eastAsia="仿宋" w:cs="Times New Roman"/>
          <w:color w:val="auto"/>
          <w:sz w:val="24"/>
          <w:highlight w:val="none"/>
        </w:rPr>
        <w:t xml:space="preserve">网站查询截图加盖电子公章）。</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7</w:t>
      </w:r>
      <w:r>
        <w:rPr>
          <w:rFonts w:hint="default" w:ascii="Times New Roman" w:hAnsi="Times New Roman" w:eastAsia="仿宋" w:cs="Times New Roman"/>
          <w:color w:val="auto"/>
          <w:sz w:val="24"/>
          <w:highlight w:val="none"/>
          <w:lang w:val="zh-CN"/>
        </w:rPr>
        <w:t xml:space="preserve">）本次采购项目实施所必</w:t>
      </w:r>
      <w:r>
        <w:rPr>
          <w:rFonts w:hint="default" w:ascii="Times New Roman" w:hAnsi="Times New Roman" w:eastAsia="仿宋" w:cs="Times New Roman"/>
          <w:color w:val="auto"/>
          <w:sz w:val="24"/>
          <w:highlight w:val="none"/>
        </w:rPr>
        <w:t xml:space="preserve">需</w:t>
      </w:r>
      <w:r>
        <w:rPr>
          <w:rFonts w:hint="default" w:ascii="Times New Roman" w:hAnsi="Times New Roman" w:eastAsia="仿宋" w:cs="Times New Roman"/>
          <w:color w:val="auto"/>
          <w:sz w:val="24"/>
          <w:highlight w:val="none"/>
          <w:lang w:val="zh-CN"/>
        </w:rPr>
        <w:t xml:space="preserve">的许可资质证明材料（若有）。</w:t>
      </w:r>
      <w:r/>
    </w:p>
    <w:p>
      <w:pPr>
        <w:pStyle w:val="876"/>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注：第（5）条重大违法记录，是指供应商因违法经营受到刑事处罚或者责令停产停业、吊销许可证或者执照、较大数额罚款等行政处罚。</w:t>
      </w:r>
      <w:bookmarkEnd w:id="179"/>
      <w:r/>
      <w:bookmarkEnd w:id="180"/>
      <w:r/>
      <w:bookmarkEnd w:id="181"/>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根据《关于在政府采购活动中推行信用承诺制的通知》宁财购通〔2021〕5号规定，以上（2）-（6）条可以以在线下载的应由法定代表人签字并盖单位电子公章的《南京市政府采购供应商信用记录表暨信用承诺书》替代。</w:t>
      </w:r>
      <w:r/>
    </w:p>
    <w:p>
      <w:pPr>
        <w:ind w:firstLine="482"/>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 w:val="24"/>
          <w:highlight w:val="none"/>
          <w:lang w:val="zh-CN"/>
        </w:rPr>
        <w:t xml:space="preserve">不得以信用承诺书替代</w:t>
      </w:r>
      <w:r>
        <w:rPr>
          <w:rFonts w:hint="default" w:ascii="Times New Roman" w:hAnsi="Times New Roman" w:eastAsia="仿宋" w:cs="Times New Roman"/>
          <w:b/>
          <w:bCs/>
          <w:color w:val="auto"/>
          <w:sz w:val="24"/>
          <w:highlight w:val="none"/>
        </w:rPr>
        <w:t xml:space="preserve">的供应商资格证明文件须提供《中华人民共和国政府采购法》第二十二条规定的（2）-（6）条按要求提供证明材料扫描件加盖电子公章。</w:t>
      </w:r>
      <w:r/>
    </w:p>
    <w:p>
      <w:pPr>
        <w:jc w:val="left"/>
        <w:spacing w:line="360" w:lineRule="auto"/>
        <w:shd w:val="clear" w:color="auto" w:fill="ffffff"/>
        <w:widowControl/>
        <w:rPr>
          <w:rStyle w:val="1215"/>
          <w:rFonts w:hint="default" w:ascii="Times New Roman" w:hAnsi="Times New Roman" w:cs="Times New Roman"/>
          <w:color w:val="auto"/>
          <w:highlight w:val="none"/>
        </w:rPr>
        <w:outlineLvl w:val="1"/>
      </w:pPr>
      <w:r>
        <w:rPr>
          <w:rFonts w:hint="default" w:ascii="Times New Roman" w:hAnsi="Times New Roman" w:eastAsia="仿宋" w:cs="Times New Roman"/>
          <w:color w:val="auto"/>
          <w:highlight w:val="none"/>
        </w:rPr>
        <w:br w:type="page" w:clear="all"/>
      </w:r>
      <w:bookmarkStart w:id="182" w:name="_Toc28183"/>
      <w:r>
        <w:rPr>
          <w:rFonts w:hint="default" w:ascii="Times New Roman" w:hAnsi="Times New Roman" w:eastAsia="仿宋" w:cs="Times New Roman"/>
          <w:b/>
          <w:bCs/>
          <w:color w:val="auto"/>
          <w:sz w:val="24"/>
          <w:highlight w:val="none"/>
        </w:rPr>
        <w:t xml:space="preserve">三、</w:t>
      </w:r>
      <w:r>
        <w:rPr>
          <w:rStyle w:val="1215"/>
          <w:rFonts w:hint="default" w:ascii="Times New Roman" w:hAnsi="Times New Roman" w:cs="Times New Roman"/>
          <w:bCs/>
          <w:color w:val="auto"/>
          <w:szCs w:val="24"/>
          <w:highlight w:val="none"/>
        </w:rPr>
        <w:t xml:space="preserve">综合评审评分项</w:t>
      </w:r>
      <w:bookmarkEnd w:id="182"/>
      <w:r/>
      <w:r/>
    </w:p>
    <w:p>
      <w:pPr>
        <w:spacing w:line="360" w:lineRule="auto"/>
        <w:rPr>
          <w:rStyle w:val="1215"/>
          <w:rFonts w:hint="default" w:ascii="Times New Roman" w:hAnsi="Times New Roman" w:cs="Times New Roman"/>
          <w:color w:val="auto"/>
          <w:highlight w:val="none"/>
        </w:rPr>
      </w:pPr>
      <w:r/>
      <w:bookmarkStart w:id="183" w:name="_Toc24265"/>
      <w:r/>
      <w:bookmarkStart w:id="184" w:name="_Toc32704"/>
      <w:r/>
      <w:bookmarkStart w:id="185" w:name="_Toc11187"/>
      <w:r/>
      <w:bookmarkStart w:id="186" w:name="_Toc5779"/>
      <w:r/>
      <w:bookmarkStart w:id="187" w:name="_Toc2438"/>
      <w:r/>
      <w:bookmarkStart w:id="188" w:name="_Toc27588"/>
      <w:r/>
      <w:bookmarkStart w:id="189" w:name="_Toc30321"/>
      <w:r/>
      <w:bookmarkStart w:id="190" w:name="_Toc23988"/>
      <w:r/>
      <w:bookmarkStart w:id="191" w:name="_Toc27955"/>
      <w:r/>
      <w:bookmarkStart w:id="192" w:name="_Toc27566"/>
      <w:r/>
      <w:bookmarkStart w:id="193" w:name="_Toc4064"/>
      <w:r/>
      <w:bookmarkStart w:id="194" w:name="_Toc9155"/>
      <w:r>
        <w:rPr>
          <w:rStyle w:val="1215"/>
          <w:rFonts w:hint="default" w:ascii="Times New Roman" w:hAnsi="Times New Roman" w:cs="Times New Roman"/>
          <w:color w:val="auto"/>
          <w:highlight w:val="none"/>
        </w:rPr>
        <w:t xml:space="preserve">（注：详见第三章 评标标准。）</w:t>
      </w:r>
      <w:bookmarkEnd w:id="183"/>
      <w:r/>
      <w:bookmarkEnd w:id="184"/>
      <w:r/>
      <w:bookmarkEnd w:id="185"/>
      <w:r/>
      <w:bookmarkEnd w:id="186"/>
      <w:r/>
      <w:bookmarkEnd w:id="187"/>
      <w:bookmarkEnd w:id="188"/>
      <w:bookmarkEnd w:id="189"/>
      <w:bookmarkEnd w:id="190"/>
      <w:r/>
    </w:p>
    <w:p>
      <w:pPr>
        <w:rPr>
          <w:rFonts w:hint="default" w:ascii="Times New Roman" w:hAnsi="Times New Roman" w:eastAsia="仿宋" w:cs="Times New Roman"/>
          <w:b/>
          <w:bCs/>
          <w:color w:val="auto"/>
          <w:sz w:val="24"/>
          <w:szCs w:val="22"/>
          <w:highlight w:val="none"/>
        </w:rPr>
      </w:pPr>
      <w:r/>
      <w:bookmarkStart w:id="195" w:name="_Toc24497"/>
      <w:r>
        <w:rPr>
          <w:rFonts w:hint="default" w:ascii="Times New Roman" w:hAnsi="Times New Roman" w:eastAsia="仿宋" w:cs="Times New Roman"/>
          <w:b/>
          <w:bCs/>
          <w:color w:val="auto"/>
          <w:sz w:val="24"/>
          <w:szCs w:val="22"/>
          <w:highlight w:val="none"/>
        </w:rPr>
        <w:br w:type="page" w:clear="all"/>
      </w:r>
      <w:r/>
    </w:p>
    <w:p>
      <w:pPr>
        <w:jc w:val="left"/>
        <w:spacing w:line="360" w:lineRule="auto"/>
        <w:shd w:val="clear" w:color="auto" w:fill="ffffff"/>
        <w:widowControl/>
        <w:rPr>
          <w:rFonts w:hint="default" w:ascii="Times New Roman" w:hAnsi="Times New Roman" w:eastAsia="仿宋" w:cs="Times New Roman"/>
          <w:b/>
          <w:bCs/>
          <w:color w:val="auto"/>
          <w:sz w:val="24"/>
          <w:highlight w:val="none"/>
        </w:rPr>
        <w:outlineLvl w:val="1"/>
      </w:pPr>
      <w:r/>
      <w:bookmarkStart w:id="196" w:name="_Toc4802"/>
      <w:r>
        <w:rPr>
          <w:rFonts w:hint="default" w:ascii="Times New Roman" w:hAnsi="Times New Roman" w:eastAsia="仿宋" w:cs="Times New Roman"/>
          <w:b/>
          <w:bCs/>
          <w:color w:val="auto"/>
          <w:sz w:val="24"/>
          <w:highlight w:val="none"/>
        </w:rPr>
        <w:t xml:space="preserve">四、价格折扣文件格式</w:t>
      </w:r>
      <w:bookmarkEnd w:id="195"/>
      <w:r/>
      <w:bookmarkEnd w:id="196"/>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97" w:name="_Toc22073"/>
      <w:r/>
      <w:bookmarkStart w:id="198" w:name="_Toc17254"/>
      <w:r>
        <w:rPr>
          <w:rFonts w:hint="default" w:ascii="Times New Roman" w:hAnsi="Times New Roman" w:eastAsia="仿宋" w:cs="Times New Roman"/>
          <w:b/>
          <w:bCs/>
          <w:color w:val="auto"/>
          <w:sz w:val="24"/>
          <w:szCs w:val="22"/>
          <w:highlight w:val="none"/>
        </w:rPr>
        <w:t xml:space="preserve">1、中小企业声明函</w:t>
      </w:r>
      <w:bookmarkEnd w:id="197"/>
      <w:r/>
      <w:bookmarkEnd w:id="198"/>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中小企业声明函（货物）</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本公司郑重声明，根据《政府采购促进中小企业发展管理办法》（财库 </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﹝2020﹞46号）的规定，本公司参加</w:t>
      </w:r>
      <w:r>
        <w:rPr>
          <w:rFonts w:hint="eastAsia" w:eastAsia="仿宋" w:cs="Times New Roman"/>
          <w:color w:val="auto"/>
          <w:sz w:val="24"/>
          <w:highlight w:val="none"/>
          <w:u w:val="single"/>
          <w:lang w:eastAsia="zh-CN"/>
        </w:rPr>
        <w:t xml:space="preserve">南京市雨花台区人民政府板桥街道办事处</w:t>
      </w:r>
      <w:r>
        <w:rPr>
          <w:rFonts w:hint="default" w:ascii="Times New Roman" w:hAnsi="Times New Roman" w:eastAsia="仿宋" w:cs="Times New Roman"/>
          <w:color w:val="auto"/>
          <w:sz w:val="24"/>
          <w:highlight w:val="none"/>
        </w:rPr>
        <w:t xml:space="preserve">的</w:t>
      </w:r>
      <w:r>
        <w:rPr>
          <w:rFonts w:hint="eastAsia" w:eastAsia="仿宋" w:cs="Times New Roman"/>
          <w:bCs/>
          <w:color w:val="auto"/>
          <w:sz w:val="24"/>
          <w:highlight w:val="none"/>
          <w:u w:val="single"/>
          <w:lang w:val="zh-CN"/>
        </w:rPr>
        <w:t xml:space="preserve">板桥街道四座泵站备用电源项目</w:t>
      </w:r>
      <w:r>
        <w:rPr>
          <w:rFonts w:hint="default" w:ascii="Times New Roman" w:hAnsi="Times New Roman" w:eastAsia="仿宋" w:cs="Times New Roman"/>
          <w:color w:val="auto"/>
          <w:sz w:val="24"/>
          <w:highlight w:val="none"/>
        </w:rPr>
        <w:t xml:space="preserve">采购活动，提供的货物</w:t>
      </w:r>
      <w:r>
        <w:rPr>
          <w:rFonts w:hint="default" w:ascii="Times New Roman" w:hAnsi="Times New Roman" w:eastAsia="仿宋" w:cs="Times New Roman"/>
          <w:color w:val="auto"/>
          <w:sz w:val="24"/>
          <w:highlight w:val="none"/>
          <w:u w:val="single"/>
        </w:rPr>
        <w:t xml:space="preserve">全部</w:t>
      </w:r>
      <w:r>
        <w:rPr>
          <w:rFonts w:hint="default" w:ascii="Times New Roman" w:hAnsi="Times New Roman" w:eastAsia="仿宋" w:cs="Times New Roman"/>
          <w:color w:val="auto"/>
          <w:sz w:val="24"/>
          <w:highlight w:val="none"/>
        </w:rPr>
        <w:t xml:space="preserve">由符合政策要求的中小企业制造。相关企业的具体情况如下： </w:t>
      </w:r>
      <w:r/>
    </w:p>
    <w:p>
      <w:pPr>
        <w:numPr>
          <w:ilvl w:val="0"/>
          <w:numId w:val="17"/>
        </w:num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i/>
          <w:iCs/>
          <w:color w:val="auto"/>
          <w:sz w:val="24"/>
          <w:highlight w:val="none"/>
          <w:u w:val="single"/>
        </w:rPr>
        <w:t xml:space="preserve">（标的名称） </w:t>
      </w:r>
      <w:r>
        <w:rPr>
          <w:rFonts w:hint="default" w:ascii="Times New Roman" w:hAnsi="Times New Roman" w:eastAsia="仿宋" w:cs="Times New Roman"/>
          <w:color w:val="auto"/>
          <w:sz w:val="24"/>
          <w:highlight w:val="none"/>
        </w:rPr>
        <w:t xml:space="preserve">，属于</w:t>
      </w:r>
      <w:r>
        <w:rPr>
          <w:rFonts w:hint="default" w:ascii="Times New Roman" w:hAnsi="Times New Roman" w:eastAsia="仿宋" w:cs="Times New Roman"/>
          <w:color w:val="auto"/>
          <w:sz w:val="24"/>
          <w:highlight w:val="none"/>
          <w:u w:val="single"/>
        </w:rPr>
        <w:t xml:space="preserve">工业</w:t>
      </w:r>
      <w:r>
        <w:rPr>
          <w:rFonts w:hint="default" w:ascii="Times New Roman" w:hAnsi="Times New Roman" w:eastAsia="仿宋" w:cs="Times New Roman"/>
          <w:color w:val="auto"/>
          <w:sz w:val="24"/>
          <w:highlight w:val="none"/>
        </w:rPr>
        <w:t xml:space="preserve">，制造商为</w:t>
      </w:r>
      <w:r>
        <w:rPr>
          <w:rFonts w:hint="default" w:ascii="Times New Roman" w:hAnsi="Times New Roman" w:eastAsia="仿宋" w:cs="Times New Roman"/>
          <w:i/>
          <w:iCs/>
          <w:color w:val="auto"/>
          <w:sz w:val="24"/>
          <w:highlight w:val="none"/>
          <w:u w:val="single"/>
        </w:rPr>
        <w:t xml:space="preserve">（企业名称）</w:t>
      </w:r>
      <w:r>
        <w:rPr>
          <w:rFonts w:hint="default" w:ascii="Times New Roman" w:hAnsi="Times New Roman" w:eastAsia="仿宋" w:cs="Times New Roman"/>
          <w:color w:val="auto"/>
          <w:sz w:val="24"/>
          <w:highlight w:val="none"/>
        </w:rPr>
        <w:t xml:space="preserve">，从业人员</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人，营业收入为</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万元，资产总额为</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万元，属于</w:t>
      </w:r>
      <w:r>
        <w:rPr>
          <w:rFonts w:hint="default" w:ascii="Times New Roman" w:hAnsi="Times New Roman" w:eastAsia="仿宋" w:cs="Times New Roman"/>
          <w:i/>
          <w:iCs/>
          <w:color w:val="auto"/>
          <w:sz w:val="24"/>
          <w:highlight w:val="none"/>
          <w:u w:val="single"/>
        </w:rPr>
        <w:t xml:space="preserve">（中型企业、小型企业、微型企业）</w:t>
      </w:r>
      <w:r>
        <w:rPr>
          <w:rFonts w:hint="default" w:ascii="Times New Roman" w:hAnsi="Times New Roman" w:eastAsia="仿宋" w:cs="Times New Roman"/>
          <w:color w:val="auto"/>
          <w:sz w:val="24"/>
          <w:highlight w:val="none"/>
        </w:rPr>
        <w:t xml:space="preserve">； </w:t>
      </w:r>
      <w:r/>
    </w:p>
    <w:p>
      <w:pPr>
        <w:numPr>
          <w:ilvl w:val="0"/>
          <w:numId w:val="17"/>
        </w:num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i/>
          <w:iCs/>
          <w:color w:val="auto"/>
          <w:sz w:val="24"/>
          <w:highlight w:val="none"/>
          <w:u w:val="single"/>
        </w:rPr>
        <w:t xml:space="preserve">（标的名称） </w:t>
      </w:r>
      <w:r>
        <w:rPr>
          <w:rFonts w:hint="default" w:ascii="Times New Roman" w:hAnsi="Times New Roman" w:eastAsia="仿宋" w:cs="Times New Roman"/>
          <w:color w:val="auto"/>
          <w:sz w:val="24"/>
          <w:highlight w:val="none"/>
        </w:rPr>
        <w:t xml:space="preserve">，属于</w:t>
      </w:r>
      <w:r>
        <w:rPr>
          <w:rFonts w:hint="default" w:ascii="Times New Roman" w:hAnsi="Times New Roman" w:eastAsia="仿宋" w:cs="Times New Roman"/>
          <w:color w:val="auto"/>
          <w:sz w:val="24"/>
          <w:highlight w:val="none"/>
          <w:u w:val="single"/>
        </w:rPr>
        <w:t xml:space="preserve">工业</w:t>
      </w:r>
      <w:r>
        <w:rPr>
          <w:rFonts w:hint="default" w:ascii="Times New Roman" w:hAnsi="Times New Roman" w:eastAsia="仿宋" w:cs="Times New Roman"/>
          <w:color w:val="auto"/>
          <w:sz w:val="24"/>
          <w:highlight w:val="none"/>
        </w:rPr>
        <w:t xml:space="preserve">，制造商为</w:t>
      </w:r>
      <w:r>
        <w:rPr>
          <w:rFonts w:hint="default" w:ascii="Times New Roman" w:hAnsi="Times New Roman" w:eastAsia="仿宋" w:cs="Times New Roman"/>
          <w:i/>
          <w:iCs/>
          <w:color w:val="auto"/>
          <w:sz w:val="24"/>
          <w:highlight w:val="none"/>
          <w:u w:val="single"/>
        </w:rPr>
        <w:t xml:space="preserve">（企业名称）</w:t>
      </w:r>
      <w:r>
        <w:rPr>
          <w:rFonts w:hint="default" w:ascii="Times New Roman" w:hAnsi="Times New Roman" w:eastAsia="仿宋" w:cs="Times New Roman"/>
          <w:color w:val="auto"/>
          <w:sz w:val="24"/>
          <w:highlight w:val="none"/>
        </w:rPr>
        <w:t xml:space="preserve">，从业人员</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人，营业收入为</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万元，资产总额为</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万元，属于</w:t>
      </w:r>
      <w:r>
        <w:rPr>
          <w:rFonts w:hint="default" w:ascii="Times New Roman" w:hAnsi="Times New Roman" w:eastAsia="仿宋" w:cs="Times New Roman"/>
          <w:i/>
          <w:iCs/>
          <w:color w:val="auto"/>
          <w:sz w:val="24"/>
          <w:highlight w:val="none"/>
          <w:u w:val="single"/>
        </w:rPr>
        <w:t xml:space="preserve">（中型企业、小型企业、微型企业）</w:t>
      </w:r>
      <w:r>
        <w:rPr>
          <w:rFonts w:hint="default" w:ascii="Times New Roman" w:hAnsi="Times New Roman" w:eastAsia="仿宋" w:cs="Times New Roman"/>
          <w:color w:val="auto"/>
          <w:sz w:val="24"/>
          <w:highlight w:val="none"/>
        </w:rPr>
        <w:t xml:space="preserve">； </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本企业对上述声明内容的真实性负责。如有虚假，将依法承担相应责任。 </w:t>
      </w:r>
      <w:r/>
    </w:p>
    <w:p>
      <w:pPr>
        <w:ind w:firstLine="552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企业名称（盖章）： </w:t>
      </w:r>
      <w:r/>
    </w:p>
    <w:p>
      <w:pPr>
        <w:ind w:firstLine="552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 期</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 </w:t>
      </w:r>
      <w:r>
        <w:rPr>
          <w:rFonts w:hint="default" w:ascii="Times New Roman" w:hAnsi="Times New Roman" w:eastAsia="仿宋" w:cs="Times New Roman"/>
          <w:color w:val="auto"/>
          <w:sz w:val="24"/>
          <w:szCs w:val="22"/>
          <w:highlight w:val="none"/>
        </w:rPr>
        <w:tab/>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注：从业人员、营业收入、资产总额填报上一年度数据，无上一年度数据的新成立企业可不填报。</w:t>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备注：</w:t>
      </w:r>
      <w:r/>
    </w:p>
    <w:p>
      <w:pPr>
        <w:ind w:firstLine="560"/>
        <w:spacing w:line="479" w:lineRule="atLeast"/>
        <w:rPr>
          <w:rFonts w:hint="default" w:ascii="Times New Roman" w:hAnsi="Times New Roman" w:eastAsia="仿宋"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2"/>
          <w:highlight w:val="none"/>
        </w:rPr>
      </w:pPr>
      <w:r>
        <w:rPr>
          <w:rFonts w:hint="default" w:ascii="Times New Roman" w:hAnsi="Times New Roman" w:eastAsia="仿宋" w:cs="Times New Roman"/>
          <w:b/>
          <w:bCs/>
          <w:color w:val="auto"/>
          <w:sz w:val="22"/>
          <w:highlight w:val="none"/>
        </w:rPr>
        <w:br w:type="page" w:clear="all"/>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99" w:name="_Toc16970"/>
      <w:r/>
      <w:bookmarkStart w:id="200" w:name="_Toc28559"/>
      <w:r>
        <w:rPr>
          <w:rFonts w:hint="default" w:ascii="Times New Roman" w:hAnsi="Times New Roman" w:eastAsia="仿宋" w:cs="Times New Roman"/>
          <w:b/>
          <w:bCs/>
          <w:color w:val="auto"/>
          <w:sz w:val="24"/>
          <w:szCs w:val="22"/>
          <w:highlight w:val="none"/>
        </w:rPr>
        <w:t xml:space="preserve">2、残疾人福利性单位声明函</w:t>
      </w:r>
      <w:bookmarkEnd w:id="199"/>
      <w:r/>
      <w:bookmarkEnd w:id="200"/>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残疾人福利性单位声明函</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5136"/>
        <w:jc w:val="left"/>
        <w:spacing w:line="440" w:lineRule="exac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066"/>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供应商名称（加盖电子公章）：</w:t>
      </w:r>
      <w:r>
        <w:rPr>
          <w:rFonts w:hint="default" w:ascii="Times New Roman" w:hAnsi="Times New Roman" w:eastAsia="仿宋" w:cs="Times New Roman"/>
          <w:color w:val="auto"/>
          <w:sz w:val="24"/>
          <w:highlight w:val="none"/>
          <w:u w:val="single"/>
        </w:rPr>
        <w:t xml:space="preserve">            </w:t>
      </w:r>
      <w:r/>
    </w:p>
    <w:p>
      <w:pPr>
        <w:ind w:firstLine="4066"/>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    期：   年    月    日</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201" w:name="_Toc8717"/>
      <w:r/>
      <w:bookmarkStart w:id="202" w:name="_Toc25611"/>
      <w:r>
        <w:rPr>
          <w:rFonts w:hint="default" w:ascii="Times New Roman" w:hAnsi="Times New Roman" w:eastAsia="仿宋" w:cs="Times New Roman"/>
          <w:b/>
          <w:bCs/>
          <w:color w:val="auto"/>
          <w:sz w:val="24"/>
          <w:szCs w:val="22"/>
          <w:highlight w:val="none"/>
        </w:rPr>
        <w:t xml:space="preserve">3、属于监狱企业的证明文件</w:t>
      </w:r>
      <w:bookmarkEnd w:id="201"/>
      <w:r/>
      <w:bookmarkEnd w:id="202"/>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（提供由省级以上监狱管理局、戒毒管理局(含新疆生产建设兵团)出具的属于监狱企业的证明文件）</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203" w:name="_Toc7692"/>
      <w:r/>
      <w:bookmarkStart w:id="204" w:name="_Toc16929"/>
      <w:r>
        <w:rPr>
          <w:rFonts w:hint="default" w:ascii="Times New Roman" w:hAnsi="Times New Roman" w:eastAsia="仿宋" w:cs="Times New Roman"/>
          <w:b/>
          <w:bCs/>
          <w:color w:val="auto"/>
          <w:sz w:val="24"/>
          <w:szCs w:val="22"/>
          <w:highlight w:val="none"/>
        </w:rPr>
        <w:t xml:space="preserve">4、节能产品认证证书</w:t>
      </w:r>
      <w:bookmarkEnd w:id="203"/>
      <w:r/>
      <w:bookmarkEnd w:id="204"/>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205" w:name="_Toc16878"/>
      <w:r/>
      <w:bookmarkStart w:id="206" w:name="_Toc681"/>
      <w:r>
        <w:rPr>
          <w:rFonts w:hint="default" w:ascii="Times New Roman" w:hAnsi="Times New Roman" w:eastAsia="仿宋" w:cs="Times New Roman"/>
          <w:b/>
          <w:bCs/>
          <w:color w:val="auto"/>
          <w:sz w:val="24"/>
          <w:szCs w:val="22"/>
          <w:highlight w:val="none"/>
        </w:rPr>
        <w:t xml:space="preserve">5、环境标志产品认证证书</w:t>
      </w:r>
      <w:bookmarkEnd w:id="205"/>
      <w:r/>
      <w:bookmarkEnd w:id="206"/>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207" w:name="_Toc3001"/>
      <w:r/>
      <w:bookmarkStart w:id="208" w:name="_Toc20044"/>
      <w:r>
        <w:rPr>
          <w:rFonts w:hint="default" w:ascii="Times New Roman" w:hAnsi="Times New Roman" w:eastAsia="仿宋" w:cs="Times New Roman"/>
          <w:b/>
          <w:bCs/>
          <w:color w:val="auto"/>
          <w:sz w:val="24"/>
          <w:szCs w:val="22"/>
          <w:highlight w:val="none"/>
        </w:rPr>
        <w:t xml:space="preserve">6、进口产品转让技术、消化吸收再创新方案</w:t>
      </w:r>
      <w:bookmarkEnd w:id="207"/>
      <w:r/>
      <w:bookmarkEnd w:id="208"/>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（对于允许进口产品参加的项目）</w:t>
      </w:r>
      <w:r/>
    </w:p>
    <w:p>
      <w:pPr>
        <w:spacing w:line="360" w:lineRule="auto"/>
        <w:rPr>
          <w:rStyle w:val="1215"/>
          <w:rFonts w:hint="default" w:ascii="Times New Roman" w:hAnsi="Times New Roman" w:cs="Times New Roman"/>
          <w:color w:val="auto"/>
          <w:highlight w:val="none"/>
        </w:rPr>
      </w:pPr>
      <w:r>
        <w:rPr>
          <w:rFonts w:hint="default" w:ascii="Times New Roman" w:hAnsi="Times New Roman" w:cs="Times New Roman"/>
          <w:color w:val="auto"/>
          <w:highlight w:val="none"/>
        </w:rPr>
      </w:r>
      <w:bookmarkEnd w:id="191"/>
      <w:bookmarkEnd w:id="192"/>
      <w:bookmarkEnd w:id="193"/>
      <w:bookmarkEnd w:id="194"/>
      <w:r/>
    </w:p>
    <w:p>
      <w:pPr>
        <w:jc w:val="left"/>
        <w:spacing w:line="360" w:lineRule="auto"/>
        <w:shd w:val="clear" w:color="auto" w:fill="ffffff"/>
        <w:widowControl/>
        <w:rPr>
          <w:rStyle w:val="1215"/>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eastAsia="仿宋" w:cs="Times New Roman"/>
          <w:b/>
          <w:bCs/>
          <w:color w:val="auto"/>
          <w:sz w:val="24"/>
          <w:szCs w:val="22"/>
          <w:highlight w:val="none"/>
        </w:rPr>
        <w:outlineLvl w:val="1"/>
      </w:pPr>
      <w:r/>
      <w:bookmarkStart w:id="209" w:name="_Toc18883"/>
      <w:r/>
      <w:bookmarkStart w:id="210" w:name="_Toc14351"/>
      <w:r>
        <w:rPr>
          <w:rFonts w:hint="default" w:ascii="Times New Roman" w:hAnsi="Times New Roman" w:eastAsia="仿宋" w:cs="Times New Roman"/>
          <w:b/>
          <w:bCs/>
          <w:color w:val="auto"/>
          <w:sz w:val="24"/>
          <w:szCs w:val="22"/>
          <w:highlight w:val="none"/>
        </w:rPr>
        <w:t xml:space="preserve">五、附件</w:t>
      </w:r>
      <w:bookmarkEnd w:id="209"/>
      <w:r/>
      <w:bookmarkEnd w:id="210"/>
      <w:r/>
      <w:r/>
    </w:p>
    <w:p>
      <w:pPr>
        <w:spacing w:after="240" w:line="360" w:lineRule="auto"/>
        <w:widowControl/>
        <w:rPr>
          <w:rFonts w:hint="default" w:ascii="Times New Roman" w:hAnsi="Times New Roman" w:eastAsia="仿宋" w:cs="Times New Roman"/>
          <w:b/>
          <w:bCs/>
          <w:color w:val="auto"/>
          <w:sz w:val="24"/>
          <w:highlight w:val="none"/>
        </w:rPr>
        <w:outlineLvl w:val="2"/>
      </w:pPr>
      <w:r/>
      <w:bookmarkStart w:id="211" w:name="_Toc30626"/>
      <w:r/>
      <w:bookmarkStart w:id="212" w:name="_Toc2794"/>
      <w:r>
        <w:rPr>
          <w:rFonts w:hint="default" w:ascii="Times New Roman" w:hAnsi="Times New Roman" w:eastAsia="仿宋" w:cs="Times New Roman"/>
          <w:b/>
          <w:bCs/>
          <w:color w:val="auto"/>
          <w:sz w:val="24"/>
          <w:highlight w:val="none"/>
        </w:rPr>
        <w:t xml:space="preserve">附件一、拟参与本项目服务人员一览表</w:t>
      </w:r>
      <w:bookmarkEnd w:id="211"/>
      <w:r/>
      <w:bookmarkEnd w:id="212"/>
      <w:r/>
      <w:r/>
    </w:p>
    <w:p>
      <w:pPr>
        <w:jc w:val="center"/>
        <w:widowControl/>
        <w:rPr>
          <w:rFonts w:hint="default" w:ascii="Times New Roman" w:hAnsi="Times New Roman" w:eastAsia="仿宋" w:cs="Times New Roman"/>
          <w:b/>
          <w:bCs/>
          <w:color w:val="auto"/>
          <w:sz w:val="32"/>
          <w:szCs w:val="32"/>
          <w:highlight w:val="none"/>
        </w:rPr>
      </w:pPr>
      <w:r/>
      <w:bookmarkStart w:id="213" w:name="_Toc31460"/>
      <w:r>
        <w:rPr>
          <w:rFonts w:hint="default" w:ascii="Times New Roman" w:hAnsi="Times New Roman" w:eastAsia="仿宋" w:cs="Times New Roman"/>
          <w:b/>
          <w:bCs/>
          <w:color w:val="auto"/>
          <w:sz w:val="32"/>
          <w:szCs w:val="32"/>
          <w:highlight w:val="none"/>
        </w:rPr>
        <w:t xml:space="preserve">拟参与本项目服务人员一览表</w:t>
      </w:r>
      <w:bookmarkEnd w:id="213"/>
      <w:r/>
      <w:r/>
    </w:p>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p>
      <w:pP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项目名称：                                 </w:t>
      </w:r>
      <w:r/>
    </w:p>
    <w:p>
      <w:pP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项目编号：</w:t>
      </w:r>
      <w:r/>
    </w:p>
    <w:tbl>
      <w:tblPr>
        <w:tblStyle w:val="82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执业</w:t>
            </w:r>
            <w:r/>
          </w:p>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widowControl/>
        <w:rPr>
          <w:rFonts w:hint="default" w:ascii="Times New Roman" w:hAnsi="Times New Roman" w:eastAsia="仿宋" w:cs="Times New Roman"/>
          <w:b/>
          <w:bCs/>
          <w:color w:val="auto"/>
          <w:sz w:val="24"/>
          <w:highlight w:val="none"/>
        </w:rPr>
        <w:outlineLvl w:val="2"/>
      </w:pPr>
      <w:r>
        <w:rPr>
          <w:rFonts w:hint="default" w:ascii="Times New Roman" w:hAnsi="Times New Roman" w:eastAsia="仿宋" w:cs="Times New Roman"/>
          <w:b/>
          <w:bCs/>
          <w:color w:val="auto"/>
          <w:sz w:val="24"/>
          <w:highlight w:val="none"/>
        </w:rPr>
        <w:br w:type="page" w:clear="all"/>
      </w:r>
      <w:bookmarkStart w:id="214" w:name="_Toc19348"/>
      <w:r/>
      <w:bookmarkStart w:id="215" w:name="_Toc1537"/>
      <w:r>
        <w:rPr>
          <w:rFonts w:hint="default" w:ascii="Times New Roman" w:hAnsi="Times New Roman" w:eastAsia="仿宋" w:cs="Times New Roman"/>
          <w:b/>
          <w:bCs/>
          <w:color w:val="auto"/>
          <w:sz w:val="24"/>
          <w:highlight w:val="none"/>
        </w:rPr>
        <w:t xml:space="preserve">附件二、投标人类似业绩情况表</w:t>
      </w:r>
      <w:bookmarkEnd w:id="214"/>
      <w:r/>
      <w:bookmarkEnd w:id="215"/>
      <w:r/>
      <w:r/>
    </w:p>
    <w:p>
      <w:pPr>
        <w:jc w:val="center"/>
        <w:spacing w:line="360" w:lineRule="auto"/>
        <w:widowControl/>
        <w:rPr>
          <w:rFonts w:hint="default" w:ascii="Times New Roman" w:hAnsi="Times New Roman" w:eastAsia="仿宋" w:cs="Times New Roman"/>
          <w:b/>
          <w:bCs/>
          <w:color w:val="auto"/>
          <w:sz w:val="32"/>
          <w:szCs w:val="32"/>
          <w:highlight w:val="none"/>
        </w:rPr>
      </w:pPr>
      <w:r/>
      <w:bookmarkStart w:id="216" w:name="_Toc8537"/>
      <w:r>
        <w:rPr>
          <w:rFonts w:hint="default" w:ascii="Times New Roman" w:hAnsi="Times New Roman" w:eastAsia="仿宋" w:cs="Times New Roman"/>
          <w:b/>
          <w:bCs/>
          <w:color w:val="auto"/>
          <w:sz w:val="32"/>
          <w:szCs w:val="32"/>
          <w:highlight w:val="none"/>
        </w:rPr>
        <w:t xml:space="preserve">投标人类似业绩情况表</w:t>
      </w:r>
      <w:bookmarkEnd w:id="216"/>
      <w:r/>
      <w:r/>
    </w:p>
    <w:tbl>
      <w:tblPr>
        <w:tblStyle w:val="82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项目</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获奖</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签约及服务</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spacing w:line="360" w:lineRule="auto"/>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1、如果行数不够，请自行增加。</w:t>
      </w:r>
      <w:r/>
    </w:p>
    <w:p>
      <w:pPr>
        <w:spacing w:line="360" w:lineRule="auto"/>
        <w:rPr>
          <w:rFonts w:hint="default" w:ascii="Times New Roman" w:hAnsi="Times New Roman" w:eastAsia="仿宋" w:cs="Times New Roman"/>
          <w:b/>
          <w:color w:val="auto"/>
          <w:highlight w:val="none"/>
        </w:rPr>
      </w:pPr>
      <w:r>
        <w:rPr>
          <w:rFonts w:hint="default" w:ascii="Times New Roman" w:hAnsi="Times New Roman" w:eastAsia="仿宋" w:cs="Times New Roman"/>
          <w:color w:val="auto"/>
          <w:sz w:val="24"/>
          <w:highlight w:val="none"/>
        </w:rPr>
        <w:t xml:space="preserve">2、所有业绩均需要提供有效的扫描件。</w:t>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jc w:val="left"/>
        <w:widowControl/>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br w:type="page" w:clear="all"/>
      </w:r>
      <w:r/>
    </w:p>
    <w:p>
      <w:pPr>
        <w:spacing w:after="240" w:line="360" w:lineRule="auto"/>
        <w:rPr>
          <w:rFonts w:hint="default" w:ascii="Times New Roman" w:hAnsi="Times New Roman" w:eastAsia="仿宋" w:cs="Times New Roman"/>
          <w:b/>
          <w:color w:val="auto"/>
          <w:sz w:val="24"/>
          <w:highlight w:val="none"/>
        </w:rPr>
        <w:outlineLvl w:val="2"/>
      </w:pPr>
      <w:r/>
      <w:bookmarkStart w:id="217" w:name="_Toc26762"/>
      <w:r/>
      <w:bookmarkStart w:id="218" w:name="_Toc2941"/>
      <w:r>
        <w:rPr>
          <w:rFonts w:hint="default" w:ascii="Times New Roman" w:hAnsi="Times New Roman" w:eastAsia="仿宋" w:cs="Times New Roman"/>
          <w:b/>
          <w:color w:val="auto"/>
          <w:sz w:val="24"/>
          <w:highlight w:val="none"/>
        </w:rPr>
        <w:t xml:space="preserve">附件三、无重大违法记录声明格式</w:t>
      </w:r>
      <w:bookmarkEnd w:id="217"/>
      <w:r/>
      <w:bookmarkEnd w:id="218"/>
      <w:r/>
      <w:r/>
    </w:p>
    <w:p>
      <w:pPr>
        <w:jc w:val="center"/>
        <w:spacing w:line="240" w:lineRule="atLeast"/>
        <w:rPr>
          <w:rFonts w:hint="default" w:ascii="Times New Roman" w:hAnsi="Times New Roman" w:eastAsia="仿宋" w:cs="Times New Roman"/>
          <w:color w:val="auto"/>
          <w:sz w:val="28"/>
          <w:szCs w:val="36"/>
          <w:highlight w:val="none"/>
        </w:rPr>
      </w:pPr>
      <w:r>
        <w:rPr>
          <w:rFonts w:hint="default" w:ascii="Times New Roman" w:hAnsi="Times New Roman" w:eastAsia="仿宋" w:cs="Times New Roman"/>
          <w:b/>
          <w:bCs/>
          <w:color w:val="auto"/>
          <w:sz w:val="32"/>
          <w:szCs w:val="32"/>
          <w:highlight w:val="none"/>
        </w:rPr>
        <w:t xml:space="preserve">无重大违法记录声明</w:t>
      </w:r>
      <w:r/>
    </w:p>
    <w:p>
      <w:pPr>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spacing w:line="360" w:lineRule="auto"/>
        <w:rPr>
          <w:rFonts w:hint="default" w:ascii="Times New Roman" w:hAnsi="Times New Roman" w:eastAsia="仿宋" w:cs="Times New Roman"/>
          <w:color w:val="auto"/>
          <w:sz w:val="24"/>
          <w:highlight w:val="none"/>
        </w:rPr>
      </w:pPr>
      <w:r>
        <w:rPr>
          <w:rFonts w:hint="eastAsia" w:eastAsia="仿宋" w:cs="Times New Roman"/>
          <w:b/>
          <w:bCs/>
          <w:color w:val="auto"/>
          <w:sz w:val="24"/>
          <w:highlight w:val="none"/>
          <w:lang w:eastAsia="zh-CN"/>
        </w:rPr>
        <w:t xml:space="preserve">南京市雨花台区人民政府板桥街道办事处</w:t>
      </w:r>
      <w:r>
        <w:rPr>
          <w:rFonts w:hint="default" w:ascii="Times New Roman" w:hAnsi="Times New Roman" w:eastAsia="仿宋" w:cs="Times New Roman"/>
          <w:color w:val="auto"/>
          <w:sz w:val="24"/>
          <w:highlight w:val="none"/>
        </w:rPr>
        <w:t xml:space="preserve">：</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 </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（供应商名称）郑重声明：</w:t>
      </w:r>
      <w:r/>
    </w:p>
    <w:p>
      <w:pPr>
        <w:ind w:firstLine="480"/>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我单位参加政府采购活动前3年内在经营活动中（</w:t>
      </w:r>
      <w:r>
        <w:rPr>
          <w:rFonts w:hint="default" w:ascii="Times New Roman" w:hAnsi="Times New Roman" w:eastAsia="仿宋" w:cs="Times New Roman"/>
          <w:b/>
          <w:i/>
          <w:color w:val="auto"/>
          <w:sz w:val="24"/>
          <w:highlight w:val="none"/>
          <w:u w:val="single"/>
        </w:rPr>
        <w:t xml:space="preserve">在下划线上如实填写：有或没有</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b/>
          <w:color w:val="auto"/>
          <w:sz w:val="24"/>
          <w:highlight w:val="none"/>
        </w:rPr>
        <w:t xml:space="preserve">重大违法记录，且不是失信被执行人、重大税收违法案件当事人名单、政府采购严重违法失信行为记录名单的供应商。</w:t>
      </w:r>
      <w:r/>
    </w:p>
    <w:p>
      <w:pPr>
        <w:ind w:firstLine="42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315"/>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5103"/>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声明人：（加盖电子公章）</w:t>
      </w:r>
      <w:r/>
    </w:p>
    <w:p>
      <w:pPr>
        <w:keepNext/>
        <w:spacing w:after="240" w:line="360" w:lineRule="auto"/>
        <w:tabs>
          <w:tab w:val="left" w:pos="1440" w:leader="none"/>
          <w:tab w:val="left" w:pos="567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日期：</w:t>
      </w:r>
      <w:r>
        <w:rPr>
          <w:rFonts w:hint="default" w:ascii="Times New Roman" w:hAnsi="Times New Roman" w:eastAsia="仿宋" w:cs="Times New Roman"/>
          <w:color w:val="auto"/>
          <w:sz w:val="24"/>
          <w:highlight w:val="none"/>
        </w:rPr>
        <w:t xml:space="preserve">     </w:t>
      </w:r>
      <w:r>
        <w:rPr>
          <w:rFonts w:hint="default" w:ascii="Times New Roman" w:hAnsi="Times New Roman" w:eastAsia="仿宋" w:cs="Times New Roman"/>
          <w:color w:val="auto"/>
          <w:sz w:val="24"/>
          <w:highlight w:val="none"/>
          <w:lang w:val="zh-CN"/>
        </w:rPr>
        <w:t xml:space="preserve">年</w:t>
      </w:r>
      <w:r>
        <w:rPr>
          <w:rFonts w:hint="default" w:ascii="Times New Roman" w:hAnsi="Times New Roman" w:eastAsia="仿宋" w:cs="Times New Roman"/>
          <w:color w:val="auto"/>
          <w:sz w:val="24"/>
          <w:highlight w:val="none"/>
        </w:rPr>
        <w:t xml:space="preserve">  </w:t>
      </w:r>
      <w:r>
        <w:rPr>
          <w:rFonts w:hint="default" w:ascii="Times New Roman" w:hAnsi="Times New Roman" w:eastAsia="仿宋" w:cs="Times New Roman"/>
          <w:color w:val="auto"/>
          <w:sz w:val="24"/>
          <w:highlight w:val="none"/>
          <w:lang w:val="zh-CN"/>
        </w:rPr>
        <w:t xml:space="preserve">月</w:t>
      </w:r>
      <w:r>
        <w:rPr>
          <w:rFonts w:hint="default" w:ascii="Times New Roman" w:hAnsi="Times New Roman" w:eastAsia="仿宋" w:cs="Times New Roman"/>
          <w:color w:val="auto"/>
          <w:sz w:val="24"/>
          <w:highlight w:val="none"/>
        </w:rPr>
        <w:t xml:space="preserve">  日</w:t>
      </w:r>
      <w:r/>
    </w:p>
    <w:p>
      <w:pPr>
        <w:keepNext/>
        <w:spacing w:after="240" w:line="360" w:lineRule="auto"/>
        <w:tabs>
          <w:tab w:val="left" w:pos="1440" w:leader="none"/>
          <w:tab w:val="left" w:pos="5670" w:leader="none"/>
        </w:tabs>
        <w:rPr>
          <w:rFonts w:hint="default" w:ascii="Times New Roman" w:hAnsi="Times New Roman" w:eastAsia="仿宋" w:cs="Times New Roman"/>
          <w:b/>
          <w:bCs/>
          <w:color w:val="auto"/>
          <w:sz w:val="24"/>
          <w:highlight w:val="none"/>
        </w:rPr>
        <w:outlineLvl w:val="2"/>
      </w:pPr>
      <w:r>
        <w:rPr>
          <w:rFonts w:hint="default" w:ascii="Times New Roman" w:hAnsi="Times New Roman" w:eastAsia="仿宋" w:cs="Times New Roman"/>
          <w:b/>
          <w:color w:val="auto"/>
          <w:sz w:val="24"/>
          <w:highlight w:val="none"/>
          <w:lang w:val="zh-CN"/>
        </w:rPr>
        <w:br w:type="page" w:clear="all"/>
      </w:r>
      <w:bookmarkStart w:id="219" w:name="_Toc3976"/>
      <w:r/>
      <w:bookmarkStart w:id="220" w:name="_Toc20260"/>
      <w:r/>
      <w:bookmarkStart w:id="221" w:name="_Toc6231"/>
      <w:r/>
      <w:bookmarkStart w:id="222" w:name="_Toc31020"/>
      <w:r/>
      <w:bookmarkStart w:id="223" w:name="_Toc16688"/>
      <w:r>
        <w:rPr>
          <w:rFonts w:hint="default" w:ascii="Times New Roman" w:hAnsi="Times New Roman" w:eastAsia="仿宋" w:cs="Times New Roman"/>
          <w:b/>
          <w:bCs/>
          <w:color w:val="auto"/>
          <w:sz w:val="24"/>
          <w:highlight w:val="none"/>
        </w:rPr>
        <w:t xml:space="preserve">附件四、具备履行合同所必需的设备和专业技术能力的声明格式</w:t>
      </w:r>
      <w:bookmarkEnd w:id="219"/>
      <w:r/>
      <w:bookmarkEnd w:id="220"/>
      <w:r/>
      <w:bookmarkEnd w:id="221"/>
      <w:r/>
      <w:bookmarkEnd w:id="222"/>
      <w:r/>
      <w:bookmarkEnd w:id="223"/>
      <w:r/>
      <w:r/>
    </w:p>
    <w:p>
      <w:pPr>
        <w:jc w:val="center"/>
        <w:spacing w:line="360" w:lineRule="auto"/>
        <w:rPr>
          <w:rFonts w:hint="default" w:ascii="Times New Roman" w:hAnsi="Times New Roman" w:eastAsia="仿宋" w:cs="Times New Roman"/>
          <w:b/>
          <w:bCs/>
          <w:color w:val="auto"/>
          <w:sz w:val="32"/>
          <w:szCs w:val="32"/>
          <w:highlight w:val="none"/>
        </w:rPr>
      </w:pPr>
      <w:r/>
      <w:bookmarkStart w:id="224" w:name="_Toc485"/>
      <w:r>
        <w:rPr>
          <w:rFonts w:hint="default" w:ascii="Times New Roman" w:hAnsi="Times New Roman" w:eastAsia="仿宋" w:cs="Times New Roman"/>
          <w:b/>
          <w:bCs/>
          <w:color w:val="auto"/>
          <w:sz w:val="32"/>
          <w:szCs w:val="32"/>
          <w:highlight w:val="none"/>
        </w:rPr>
        <w:t xml:space="preserve">具备履行合同所必需的设备和专业技术能力的声明</w:t>
      </w:r>
      <w:bookmarkEnd w:id="224"/>
      <w:r/>
      <w:r/>
    </w:p>
    <w:p>
      <w:pPr>
        <w:spacing w:line="360" w:lineRule="auto"/>
        <w:rPr>
          <w:rFonts w:hint="default" w:ascii="Times New Roman" w:hAnsi="Times New Roman" w:eastAsia="仿宋" w:cs="Times New Roman"/>
          <w:b/>
          <w:color w:val="auto"/>
          <w:sz w:val="24"/>
          <w:szCs w:val="21"/>
          <w:highlight w:val="none"/>
          <w:lang w:val="zh-CN"/>
        </w:rPr>
      </w:pPr>
      <w:r>
        <w:rPr>
          <w:rFonts w:hint="eastAsia" w:eastAsia="仿宋" w:cs="Times New Roman"/>
          <w:b/>
          <w:bCs/>
          <w:color w:val="auto"/>
          <w:sz w:val="24"/>
          <w:highlight w:val="none"/>
          <w:lang w:eastAsia="zh-CN"/>
        </w:rPr>
        <w:t xml:space="preserve">南京市雨花台区人民政府板桥街道办事处</w:t>
      </w:r>
      <w:r>
        <w:rPr>
          <w:rFonts w:hint="default" w:ascii="Times New Roman" w:hAnsi="Times New Roman" w:eastAsia="仿宋" w:cs="Times New Roman"/>
          <w:b/>
          <w:color w:val="auto"/>
          <w:sz w:val="24"/>
          <w:szCs w:val="21"/>
          <w:highlight w:val="none"/>
          <w:lang w:val="zh-CN"/>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主要设备有：</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 。( 若有 )</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主要专业技术能力有：</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 若有 )</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w:t>
      </w:r>
      <w:r>
        <w:rPr>
          <w:rFonts w:hint="default" w:ascii="Times New Roman" w:hAnsi="Times New Roman" w:eastAsia="仿宋" w:cs="Times New Roman"/>
          <w:color w:val="auto"/>
          <w:sz w:val="24"/>
          <w:highlight w:val="none"/>
          <w:lang w:bidi="ar"/>
        </w:rPr>
        <w:t xml:space="preserve">加盖电子公章</w:t>
      </w:r>
      <w:r>
        <w:rPr>
          <w:rFonts w:hint="default" w:ascii="Times New Roman" w:hAnsi="Times New Roman" w:eastAsia="仿宋" w:cs="Times New Roman"/>
          <w:color w:val="auto"/>
          <w:sz w:val="24"/>
          <w:highlight w:val="none"/>
        </w:rPr>
        <w:t xml:space="preserve">）</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rPr>
          <w:rFonts w:hint="default" w:ascii="Times New Roman" w:hAnsi="Times New Roman" w:eastAsia="仿宋" w:cs="Times New Roman"/>
          <w:color w:val="auto"/>
          <w:sz w:val="24"/>
          <w:highlight w:val="none"/>
          <w:lang w:val="zh-CN"/>
        </w:rPr>
      </w:pPr>
      <w:r/>
      <w:bookmarkStart w:id="225" w:name="_Toc17077"/>
      <w:r/>
      <w:bookmarkStart w:id="226" w:name="_Toc8905"/>
      <w:r/>
      <w:bookmarkStart w:id="227" w:name="_Toc20475"/>
      <w:r/>
      <w:bookmarkStart w:id="228" w:name="_Toc24407"/>
      <w:r>
        <w:rPr>
          <w:rFonts w:hint="default" w:ascii="Times New Roman" w:hAnsi="Times New Roman" w:eastAsia="仿宋" w:cs="Times New Roman"/>
          <w:color w:val="auto"/>
          <w:sz w:val="24"/>
          <w:highlight w:val="none"/>
        </w:rPr>
        <w:br w:type="page" w:clear="all"/>
      </w:r>
      <w:r/>
    </w:p>
    <w:p>
      <w:pPr>
        <w:pStyle w:val="819"/>
        <w:keepLines w:val="0"/>
        <w:spacing w:before="0" w:after="240" w:line="360" w:lineRule="auto"/>
        <w:tabs>
          <w:tab w:val="left" w:pos="1440" w:leader="none"/>
          <w:tab w:val="left" w:pos="5670" w:leader="none"/>
        </w:tabs>
        <w:rPr>
          <w:rFonts w:hint="default" w:ascii="Times New Roman" w:hAnsi="Times New Roman" w:eastAsia="仿宋" w:cs="Times New Roman"/>
          <w:color w:val="auto"/>
          <w:sz w:val="24"/>
          <w:szCs w:val="24"/>
          <w:highlight w:val="none"/>
          <w:lang w:val="zh-CN"/>
        </w:rPr>
      </w:pPr>
      <w:r/>
      <w:bookmarkStart w:id="229" w:name="_Toc23202"/>
      <w:r/>
      <w:bookmarkStart w:id="230" w:name="_Toc15105"/>
      <w:r>
        <w:rPr>
          <w:rFonts w:hint="default" w:ascii="Times New Roman" w:hAnsi="Times New Roman" w:eastAsia="仿宋" w:cs="Times New Roman"/>
          <w:color w:val="auto"/>
          <w:sz w:val="24"/>
          <w:szCs w:val="24"/>
          <w:highlight w:val="none"/>
        </w:rPr>
        <w:t xml:space="preserve">附件五</w:t>
      </w:r>
      <w:r>
        <w:rPr>
          <w:rFonts w:hint="default" w:ascii="Times New Roman" w:hAnsi="Times New Roman" w:eastAsia="仿宋" w:cs="Times New Roman"/>
          <w:color w:val="auto"/>
          <w:sz w:val="24"/>
          <w:szCs w:val="24"/>
          <w:highlight w:val="none"/>
          <w:lang w:val="zh-CN"/>
        </w:rPr>
        <w:t xml:space="preserve">、南京市政府采购供应商信用记录表暨信用承诺书</w:t>
      </w:r>
      <w:bookmarkEnd w:id="225"/>
      <w:r/>
      <w:bookmarkEnd w:id="226"/>
      <w:r/>
      <w:bookmarkEnd w:id="227"/>
      <w:r/>
      <w:bookmarkEnd w:id="228"/>
      <w:r/>
      <w:bookmarkEnd w:id="229"/>
      <w:r/>
      <w:bookmarkEnd w:id="230"/>
      <w:r/>
      <w:r/>
    </w:p>
    <w:p>
      <w:pPr>
        <w:pStyle w:val="876"/>
        <w:ind w:firstLine="0"/>
        <w:jc w:val="center"/>
        <w:spacing w:line="360" w:lineRule="auto"/>
        <w:rPr>
          <w:rFonts w:hint="default" w:ascii="Times New Roman" w:hAnsi="Times New Roman" w:eastAsia="仿宋" w:cs="Times New Roman"/>
          <w:b/>
          <w:bCs/>
          <w:color w:val="auto"/>
          <w:sz w:val="32"/>
          <w:szCs w:val="32"/>
          <w:highlight w:val="none"/>
        </w:rPr>
      </w:pPr>
      <w:r/>
      <w:bookmarkStart w:id="231" w:name="_Toc19773"/>
      <w:r>
        <w:rPr>
          <w:rFonts w:hint="default" w:ascii="Times New Roman" w:hAnsi="Times New Roman" w:eastAsia="仿宋" w:cs="Times New Roman"/>
          <w:b/>
          <w:bCs/>
          <w:color w:val="auto"/>
          <w:sz w:val="32"/>
          <w:szCs w:val="32"/>
          <w:highlight w:val="none"/>
        </w:rPr>
        <w:t xml:space="preserve">南京市政府采购供应商信用记录表暨信用承诺书</w:t>
      </w:r>
      <w:bookmarkEnd w:id="231"/>
      <w:r/>
      <w:r/>
    </w:p>
    <w:p>
      <w:pPr>
        <w:jc w:val="center"/>
        <w:spacing w:line="360" w:lineRule="auto"/>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Cs w:val="21"/>
          <w:highlight w:val="none"/>
        </w:rPr>
        <w:t xml:space="preserve">（仅为示范格式，直接填写无效，需至“南京政府采购供应商诚信档案管理系统”在线打印）</w:t>
      </w:r>
      <w:r/>
    </w:p>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20  年  月  日</w:t>
      </w:r>
      <w:r/>
    </w:p>
    <w:tbl>
      <w:tblPr>
        <w:tblStyle w:val="827"/>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我公司自愿参加贵中心（公司）组织的本次采购活动，严格遵守《中华人民政府采购法》及相关</w:t>
            </w:r>
            <w:r>
              <w:rPr>
                <w:rFonts w:hint="default" w:ascii="Times New Roman" w:hAnsi="Times New Roman" w:eastAsia="仿宋" w:cs="Times New Roman"/>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供应商名称（公章）：</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法定代表人（签字）：</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二〇   年  月    日</w:t>
            </w:r>
            <w:r/>
          </w:p>
        </w:tc>
      </w:tr>
    </w:tbl>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7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7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特别说明：</w:t>
      </w:r>
      <w:r/>
    </w:p>
    <w:p>
      <w:pPr>
        <w:pStyle w:val="876"/>
        <w:ind w:firstLine="482"/>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供应商对信用承诺内容的真实性、合法性、有效性负责。如作出虚假信用承诺，视同为“提供虚假材料谋取中标、成交”的违法行为。</w:t>
      </w:r>
      <w:r/>
    </w:p>
    <w:p>
      <w:pPr>
        <w:pStyle w:val="87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firstLine="5040"/>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sectPr>
      <w:headerReference w:type="default" r:id="rId9"/>
      <w:footerReference w:type="default" r:id="rId14"/>
      <w:footerReference w:type="first" r:id="rId15"/>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楷体_GB2312">
    <w:panose1 w:val="02010609060101010101"/>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ヒラギノ角ゴ Pro W3">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Sim Sun">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lear" w:pos="4153" w:leader="none"/>
        <w:tab w:val="left" w:pos="5944"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2165985</wp:posOffset>
              </wp:positionH>
              <wp:positionV relativeFrom="paragraph">
                <wp:posOffset>-9525</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rPr>
                              <w:rFonts w:eastAsia="仿宋"/>
                            </w:rPr>
                          </w:pPr>
                          <w:r>
                            <w:rPr>
                              <w:rFonts w:eastAsia="仿宋"/>
                            </w:rPr>
                            <w:t xml:space="preserve">第 </w:t>
                          </w:r>
                          <w:r>
                            <w:rPr>
                              <w:rFonts w:eastAsia="仿宋"/>
                            </w:rPr>
                            <w:fldChar w:fldCharType="begin"/>
                          </w:r>
                          <w:r>
                            <w:rPr>
                              <w:rFonts w:eastAsia="仿宋"/>
                            </w:rPr>
                            <w:instrText xml:space="preserve"> PAGE  \* MERGEFORMAT </w:instrText>
                          </w:r>
                          <w:r>
                            <w:rPr>
                              <w:rFonts w:eastAsia="仿宋"/>
                            </w:rPr>
                            <w:fldChar w:fldCharType="separate"/>
                          </w:r>
                          <w:r>
                            <w:rPr>
                              <w:rFonts w:eastAsia="仿宋"/>
                            </w:rPr>
                            <w:t xml:space="preserve">1</w:t>
                          </w:r>
                          <w:r>
                            <w:rPr>
                              <w:rFonts w:eastAsia="仿宋"/>
                            </w:rPr>
                            <w:fldChar w:fldCharType="end"/>
                          </w:r>
                          <w:r>
                            <w:rPr>
                              <w:rFonts w:eastAsia="仿宋"/>
                            </w:rPr>
                            <w:t xml:space="preserve"> 页 共 </w:t>
                          </w:r>
                          <w:r>
                            <w:rPr>
                              <w:rFonts w:eastAsia="仿宋"/>
                            </w:rPr>
                            <w:fldChar w:fldCharType="begin"/>
                          </w:r>
                          <w:r>
                            <w:rPr>
                              <w:rFonts w:eastAsia="仿宋"/>
                            </w:rPr>
                            <w:instrText xml:space="preserve"> NUMPAGES  \* MERGEFORMAT </w:instrText>
                          </w:r>
                          <w:r>
                            <w:rPr>
                              <w:rFonts w:eastAsia="仿宋"/>
                            </w:rPr>
                            <w:fldChar w:fldCharType="separate"/>
                          </w:r>
                          <w:r>
                            <w:rPr>
                              <w:rFonts w:eastAsia="仿宋"/>
                            </w:rPr>
                            <w:t xml:space="preserve">57</w:t>
                          </w:r>
                          <w:r>
                            <w:rPr>
                              <w:rFonts w:eastAsia="仿宋"/>
                            </w:rPr>
                            <w:fldChar w:fldCharType="end"/>
                          </w:r>
                          <w:r>
                            <w:rPr>
                              <w:rFonts w:eastAsia="仿宋"/>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argin-left:170.5pt;mso-position-horizontal:absolute;mso-position-vertical-relative:text;margin-top:-0.8pt;mso-position-vertical:absolute;width:144.0pt;height:144.0pt;mso-wrap-distance-left:9.0pt;mso-wrap-distance-top:0.0pt;mso-wrap-distance-right:9.0pt;mso-wrap-distance-bottom:0.0pt;v-text-anchor:top;visibility:visible;" filled="f" stroked="f" strokeweight="0.50pt">
              <v:textbox inset="0,0,0,0">
                <w:txbxContent>
                  <w:p>
                    <w:pPr>
                      <w:pStyle w:val="847"/>
                      <w:rPr>
                        <w:rFonts w:eastAsia="仿宋"/>
                      </w:rPr>
                    </w:pPr>
                    <w:r>
                      <w:rPr>
                        <w:rFonts w:eastAsia="仿宋"/>
                      </w:rPr>
                      <w:t xml:space="preserve">第 </w:t>
                    </w:r>
                    <w:r>
                      <w:rPr>
                        <w:rFonts w:eastAsia="仿宋"/>
                      </w:rPr>
                      <w:fldChar w:fldCharType="begin"/>
                    </w:r>
                    <w:r>
                      <w:rPr>
                        <w:rFonts w:eastAsia="仿宋"/>
                      </w:rPr>
                      <w:instrText xml:space="preserve"> PAGE  \* MERGEFORMAT </w:instrText>
                    </w:r>
                    <w:r>
                      <w:rPr>
                        <w:rFonts w:eastAsia="仿宋"/>
                      </w:rPr>
                      <w:fldChar w:fldCharType="separate"/>
                    </w:r>
                    <w:r>
                      <w:rPr>
                        <w:rFonts w:eastAsia="仿宋"/>
                      </w:rPr>
                      <w:t xml:space="preserve">1</w:t>
                    </w:r>
                    <w:r>
                      <w:rPr>
                        <w:rFonts w:eastAsia="仿宋"/>
                      </w:rPr>
                      <w:fldChar w:fldCharType="end"/>
                    </w:r>
                    <w:r>
                      <w:rPr>
                        <w:rFonts w:eastAsia="仿宋"/>
                      </w:rPr>
                      <w:t xml:space="preserve"> 页 共 </w:t>
                    </w:r>
                    <w:r>
                      <w:rPr>
                        <w:rFonts w:eastAsia="仿宋"/>
                      </w:rPr>
                      <w:fldChar w:fldCharType="begin"/>
                    </w:r>
                    <w:r>
                      <w:rPr>
                        <w:rFonts w:eastAsia="仿宋"/>
                      </w:rPr>
                      <w:instrText xml:space="preserve"> NUMPAGES  \* MERGEFORMAT </w:instrText>
                    </w:r>
                    <w:r>
                      <w:rPr>
                        <w:rFonts w:eastAsia="仿宋"/>
                      </w:rPr>
                      <w:fldChar w:fldCharType="separate"/>
                    </w:r>
                    <w:r>
                      <w:rPr>
                        <w:rFonts w:eastAsia="仿宋"/>
                      </w:rPr>
                      <w:t xml:space="preserve">57</w:t>
                    </w:r>
                    <w:r>
                      <w:rPr>
                        <w:rFonts w:eastAsia="仿宋"/>
                      </w:rPr>
                      <w:fldChar w:fldCharType="end"/>
                    </w:r>
                    <w:r>
                      <w:rPr>
                        <w:rFonts w:eastAsia="仿宋"/>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rPr>
                              <w:rFonts w:eastAsia="仿宋"/>
                            </w:rPr>
                          </w:pPr>
                          <w:r>
                            <w:rPr>
                              <w:rFonts w:eastAsia="仿宋"/>
                            </w:rPr>
                            <w:t xml:space="preserve">第 </w:t>
                          </w:r>
                          <w:r>
                            <w:rPr>
                              <w:rFonts w:eastAsia="仿宋"/>
                            </w:rPr>
                            <w:fldChar w:fldCharType="begin"/>
                          </w:r>
                          <w:r>
                            <w:rPr>
                              <w:rFonts w:eastAsia="仿宋"/>
                            </w:rPr>
                            <w:instrText xml:space="preserve"> PAGE  \* MERGEFORMAT </w:instrText>
                          </w:r>
                          <w:r>
                            <w:rPr>
                              <w:rFonts w:eastAsia="仿宋"/>
                            </w:rPr>
                            <w:fldChar w:fldCharType="separate"/>
                          </w:r>
                          <w:r>
                            <w:rPr>
                              <w:rFonts w:eastAsia="仿宋"/>
                            </w:rPr>
                            <w:t xml:space="preserve">2</w:t>
                          </w:r>
                          <w:r>
                            <w:rPr>
                              <w:rFonts w:eastAsia="仿宋"/>
                            </w:rPr>
                            <w:fldChar w:fldCharType="end"/>
                          </w:r>
                          <w:r>
                            <w:rPr>
                              <w:rFonts w:eastAsia="仿宋"/>
                            </w:rPr>
                            <w:t xml:space="preserve"> 页 共 </w:t>
                          </w:r>
                          <w:r>
                            <w:rPr>
                              <w:rFonts w:eastAsia="仿宋"/>
                            </w:rPr>
                            <w:fldChar w:fldCharType="begin"/>
                          </w:r>
                          <w:r>
                            <w:rPr>
                              <w:rFonts w:eastAsia="仿宋"/>
                            </w:rPr>
                            <w:instrText xml:space="preserve"> NUMPAGES  \* MERGEFORMAT </w:instrText>
                          </w:r>
                          <w:r>
                            <w:rPr>
                              <w:rFonts w:eastAsia="仿宋"/>
                            </w:rPr>
                            <w:fldChar w:fldCharType="separate"/>
                          </w:r>
                          <w:r>
                            <w:rPr>
                              <w:rFonts w:eastAsia="仿宋"/>
                            </w:rPr>
                            <w:t xml:space="preserve">57</w:t>
                          </w:r>
                          <w:r>
                            <w:rPr>
                              <w:rFonts w:eastAsia="仿宋"/>
                            </w:rPr>
                            <w:fldChar w:fldCharType="end"/>
                          </w:r>
                          <w:r>
                            <w:rPr>
                              <w:rFonts w:eastAsia="仿宋"/>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rPr>
                        <w:rFonts w:eastAsia="仿宋"/>
                      </w:rPr>
                    </w:pPr>
                    <w:r>
                      <w:rPr>
                        <w:rFonts w:eastAsia="仿宋"/>
                      </w:rPr>
                      <w:t xml:space="preserve">第 </w:t>
                    </w:r>
                    <w:r>
                      <w:rPr>
                        <w:rFonts w:eastAsia="仿宋"/>
                      </w:rPr>
                      <w:fldChar w:fldCharType="begin"/>
                    </w:r>
                    <w:r>
                      <w:rPr>
                        <w:rFonts w:eastAsia="仿宋"/>
                      </w:rPr>
                      <w:instrText xml:space="preserve"> PAGE  \* MERGEFORMAT </w:instrText>
                    </w:r>
                    <w:r>
                      <w:rPr>
                        <w:rFonts w:eastAsia="仿宋"/>
                      </w:rPr>
                      <w:fldChar w:fldCharType="separate"/>
                    </w:r>
                    <w:r>
                      <w:rPr>
                        <w:rFonts w:eastAsia="仿宋"/>
                      </w:rPr>
                      <w:t xml:space="preserve">2</w:t>
                    </w:r>
                    <w:r>
                      <w:rPr>
                        <w:rFonts w:eastAsia="仿宋"/>
                      </w:rPr>
                      <w:fldChar w:fldCharType="end"/>
                    </w:r>
                    <w:r>
                      <w:rPr>
                        <w:rFonts w:eastAsia="仿宋"/>
                      </w:rPr>
                      <w:t xml:space="preserve"> 页 共 </w:t>
                    </w:r>
                    <w:r>
                      <w:rPr>
                        <w:rFonts w:eastAsia="仿宋"/>
                      </w:rPr>
                      <w:fldChar w:fldCharType="begin"/>
                    </w:r>
                    <w:r>
                      <w:rPr>
                        <w:rFonts w:eastAsia="仿宋"/>
                      </w:rPr>
                      <w:instrText xml:space="preserve"> NUMPAGES  \* MERGEFORMAT </w:instrText>
                    </w:r>
                    <w:r>
                      <w:rPr>
                        <w:rFonts w:eastAsia="仿宋"/>
                      </w:rPr>
                      <w:fldChar w:fldCharType="separate"/>
                    </w:r>
                    <w:r>
                      <w:rPr>
                        <w:rFonts w:eastAsia="仿宋"/>
                      </w:rPr>
                      <w:t xml:space="preserve">57</w:t>
                    </w:r>
                    <w:r>
                      <w:rPr>
                        <w:rFonts w:eastAsia="仿宋"/>
                      </w:rPr>
                      <w:fldChar w:fldCharType="end"/>
                    </w:r>
                    <w:r>
                      <w:rPr>
                        <w:rFonts w:eastAsia="仿宋"/>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7"/>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7"/>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12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44"/>
      <w:isLgl/>
      <w:suff w:val="tab"/>
      <w:lvlText w:val="%1.%2"/>
      <w:lvlJc w:val="left"/>
      <w:pPr>
        <w:ind w:left="425" w:hanging="425"/>
      </w:pPr>
      <w:rPr>
        <w:rFonts w:hint="eastAsia" w:ascii="Arial Unicode MS" w:hAnsi="Arial Unicode MS" w:eastAsia="微软雅黑"/>
        <w:b/>
        <w:i w:val="0"/>
      </w:rPr>
    </w:lvl>
    <w:lvl w:ilvl="2">
      <w:start w:val="1"/>
      <w:numFmt w:val="decimal"/>
      <w:pStyle w:val="1158"/>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817"/>
      <w:isLgl w:val="false"/>
      <w:suff w:val="nothing"/>
      <w:lvlText w:val="第%1章"/>
      <w:lvlJc w:val="left"/>
      <w:pPr>
        <w:ind w:left="0" w:firstLine="0"/>
      </w:pPr>
    </w:lvl>
    <w:lvl w:ilvl="1">
      <w:start w:val="1"/>
      <w:numFmt w:val="none"/>
      <w:pStyle w:val="818"/>
      <w:isLgl w:val="false"/>
      <w:suff w:val="nothing"/>
      <w:lvlText w:val=""/>
      <w:lvlJc w:val="left"/>
      <w:pPr>
        <w:ind w:left="0" w:firstLine="0"/>
      </w:pPr>
    </w:lvl>
    <w:lvl w:ilvl="2">
      <w:start w:val="1"/>
      <w:numFmt w:val="none"/>
      <w:pStyle w:val="819"/>
      <w:isLgl w:val="false"/>
      <w:suff w:val="nothing"/>
      <w:lvlText w:val=""/>
      <w:lvlJc w:val="left"/>
      <w:pPr>
        <w:ind w:left="0" w:firstLine="0"/>
      </w:pPr>
    </w:lvl>
    <w:lvl w:ilvl="3">
      <w:start w:val="1"/>
      <w:numFmt w:val="none"/>
      <w:pStyle w:val="820"/>
      <w:isLgl w:val="false"/>
      <w:suff w:val="nothing"/>
      <w:lvlText w:val=""/>
      <w:lvlJc w:val="left"/>
      <w:pPr>
        <w:ind w:left="0" w:firstLine="0"/>
      </w:pPr>
    </w:lvl>
    <w:lvl w:ilvl="4">
      <w:start w:val="1"/>
      <w:numFmt w:val="none"/>
      <w:pStyle w:val="821"/>
      <w:isLgl w:val="false"/>
      <w:suff w:val="nothing"/>
      <w:lvlText w:val=""/>
      <w:lvlJc w:val="left"/>
      <w:pPr>
        <w:ind w:left="0" w:firstLine="0"/>
      </w:pPr>
    </w:lvl>
    <w:lvl w:ilvl="5">
      <w:start w:val="1"/>
      <w:numFmt w:val="none"/>
      <w:pStyle w:val="822"/>
      <w:isLgl w:val="false"/>
      <w:suff w:val="nothing"/>
      <w:lvlText w:val=""/>
      <w:lvlJc w:val="left"/>
      <w:pPr>
        <w:ind w:left="0" w:firstLine="0"/>
      </w:pPr>
    </w:lvl>
    <w:lvl w:ilvl="6">
      <w:start w:val="1"/>
      <w:numFmt w:val="none"/>
      <w:pStyle w:val="823"/>
      <w:isLgl w:val="false"/>
      <w:suff w:val="nothing"/>
      <w:lvlText w:val=""/>
      <w:lvlJc w:val="left"/>
      <w:pPr>
        <w:ind w:left="0" w:firstLine="0"/>
      </w:pPr>
    </w:lvl>
    <w:lvl w:ilvl="7">
      <w:start w:val="1"/>
      <w:numFmt w:val="none"/>
      <w:pStyle w:val="824"/>
      <w:isLgl w:val="false"/>
      <w:suff w:val="nothing"/>
      <w:lvlText w:val=""/>
      <w:lvlJc w:val="left"/>
      <w:pPr>
        <w:ind w:left="0" w:firstLine="0"/>
      </w:pPr>
    </w:lvl>
    <w:lvl w:ilvl="8">
      <w:start w:val="1"/>
      <w:numFmt w:val="none"/>
      <w:pStyle w:val="825"/>
      <w:isLgl w:val="false"/>
      <w:suff w:val="nothing"/>
      <w:lvlText w:val=""/>
      <w:lvlJc w:val="left"/>
      <w:pPr>
        <w:ind w:left="0" w:firstLine="0"/>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space"/>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5"/>
  </w:num>
  <w:num w:numId="4">
    <w:abstractNumId w:val="3"/>
  </w:num>
  <w:num w:numId="5">
    <w:abstractNumId w:val="14"/>
  </w:num>
  <w:num w:numId="6">
    <w:abstractNumId w:val="12"/>
  </w:num>
  <w:num w:numId="7">
    <w:abstractNumId w:val="2"/>
  </w:num>
  <w:num w:numId="8">
    <w:abstractNumId w:val="13"/>
  </w:num>
  <w:num w:numId="9">
    <w:abstractNumId w:val="16"/>
  </w:num>
  <w:num w:numId="10">
    <w:abstractNumId w:val="5"/>
  </w:num>
  <w:num w:numId="11">
    <w:abstractNumId w:val="9"/>
  </w:num>
  <w:num w:numId="12">
    <w:abstractNumId w:val="10"/>
  </w:num>
  <w:num w:numId="13">
    <w:abstractNumId w:val="11"/>
  </w:num>
  <w:num w:numId="14">
    <w:abstractNumId w:val="0"/>
  </w:num>
  <w:num w:numId="15">
    <w:abstractNumId w:val="6"/>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92"/>
    <w:uiPriority w:val="29"/>
    <w:rPr>
      <w:i/>
    </w:rPr>
  </w:style>
  <w:style w:type="character" w:styleId="40">
    <w:name w:val="Intense Quote Char"/>
    <w:link w:val="894"/>
    <w:uiPriority w:val="30"/>
    <w:rPr>
      <w:i/>
    </w:rPr>
  </w:style>
  <w:style w:type="table" w:styleId="49">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54"/>
    <w:uiPriority w:val="99"/>
    <w:rPr>
      <w:sz w:val="18"/>
    </w:rPr>
  </w:style>
  <w:style w:type="character" w:styleId="178">
    <w:name w:val="Endnote Text Char"/>
    <w:link w:val="845"/>
    <w:uiPriority w:val="99"/>
    <w:rPr>
      <w:sz w:val="20"/>
    </w:rPr>
  </w:style>
  <w:style w:type="paragraph" w:styleId="189">
    <w:name w:val="TOC Heading"/>
    <w:uiPriority w:val="39"/>
    <w:unhideWhenUsed/>
  </w:style>
  <w:style w:type="paragraph" w:styleId="816" w:default="1">
    <w:name w:val="Normal"/>
    <w:next w:val="828"/>
    <w:uiPriority w:val="0"/>
    <w:qFormat/>
    <w:pPr>
      <w:jc w:val="both"/>
      <w:widowControl w:val="off"/>
    </w:pPr>
    <w:rPr>
      <w:rFonts w:ascii="Times New Roman" w:hAnsi="Times New Roman" w:eastAsia="宋体" w:cs="Times New Roman"/>
      <w:sz w:val="21"/>
      <w:szCs w:val="24"/>
      <w:lang w:val="en-US" w:eastAsia="zh-CN" w:bidi="ar-SA"/>
    </w:rPr>
  </w:style>
  <w:style w:type="paragraph" w:styleId="817">
    <w:name w:val="Heading 1"/>
    <w:basedOn w:val="816"/>
    <w:next w:val="816"/>
    <w:link w:val="1215"/>
    <w:uiPriority w:val="0"/>
    <w:qFormat/>
    <w:pPr>
      <w:numPr>
        <w:ilvl w:val="0"/>
        <w:numId w:val="1"/>
      </w:numPr>
      <w:jc w:val="center"/>
      <w:keepLines/>
      <w:keepNext/>
      <w:spacing w:before="340" w:after="330" w:line="578" w:lineRule="auto"/>
      <w:outlineLvl w:val="0"/>
    </w:pPr>
    <w:rPr>
      <w:b/>
      <w:bCs/>
      <w:sz w:val="32"/>
      <w:szCs w:val="44"/>
    </w:rPr>
  </w:style>
  <w:style w:type="paragraph" w:styleId="818">
    <w:name w:val="Heading 2"/>
    <w:basedOn w:val="816"/>
    <w:next w:val="816"/>
    <w:link w:val="104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19">
    <w:name w:val="Heading 3"/>
    <w:basedOn w:val="816"/>
    <w:next w:val="816"/>
    <w:link w:val="1080"/>
    <w:uiPriority w:val="0"/>
    <w:qFormat/>
    <w:pPr>
      <w:numPr>
        <w:ilvl w:val="2"/>
        <w:numId w:val="1"/>
      </w:numPr>
      <w:keepLines/>
      <w:keepNext/>
      <w:spacing w:before="260" w:after="260" w:line="416" w:lineRule="auto"/>
      <w:outlineLvl w:val="2"/>
    </w:pPr>
    <w:rPr>
      <w:b/>
      <w:bCs/>
      <w:sz w:val="32"/>
      <w:szCs w:val="32"/>
    </w:rPr>
  </w:style>
  <w:style w:type="paragraph" w:styleId="820">
    <w:name w:val="Heading 4"/>
    <w:basedOn w:val="816"/>
    <w:next w:val="816"/>
    <w:link w:val="111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21">
    <w:name w:val="Heading 5"/>
    <w:basedOn w:val="816"/>
    <w:next w:val="816"/>
    <w:link w:val="1070"/>
    <w:uiPriority w:val="0"/>
    <w:qFormat/>
    <w:pPr>
      <w:numPr>
        <w:ilvl w:val="4"/>
        <w:numId w:val="1"/>
      </w:numPr>
      <w:keepLines/>
      <w:keepNext/>
      <w:spacing w:before="280" w:after="290" w:line="376" w:lineRule="auto"/>
      <w:outlineLvl w:val="4"/>
    </w:pPr>
    <w:rPr>
      <w:b/>
      <w:bCs/>
      <w:sz w:val="28"/>
      <w:szCs w:val="28"/>
    </w:rPr>
  </w:style>
  <w:style w:type="paragraph" w:styleId="822">
    <w:name w:val="Heading 6"/>
    <w:basedOn w:val="816"/>
    <w:next w:val="816"/>
    <w:link w:val="1056"/>
    <w:uiPriority w:val="0"/>
    <w:qFormat/>
    <w:pPr>
      <w:numPr>
        <w:ilvl w:val="5"/>
        <w:numId w:val="1"/>
      </w:numPr>
      <w:keepLines/>
      <w:keepNext/>
      <w:spacing w:before="240" w:after="64" w:line="320" w:lineRule="auto"/>
      <w:outlineLvl w:val="5"/>
    </w:pPr>
    <w:rPr>
      <w:rFonts w:ascii="Cambria" w:hAnsi="Cambria"/>
      <w:b/>
      <w:bCs/>
      <w:sz w:val="24"/>
    </w:rPr>
  </w:style>
  <w:style w:type="paragraph" w:styleId="823">
    <w:name w:val="Heading 7"/>
    <w:basedOn w:val="816"/>
    <w:next w:val="816"/>
    <w:link w:val="1111"/>
    <w:uiPriority w:val="0"/>
    <w:qFormat/>
    <w:pPr>
      <w:numPr>
        <w:ilvl w:val="6"/>
        <w:numId w:val="1"/>
      </w:numPr>
      <w:keepLines/>
      <w:keepNext/>
      <w:spacing w:before="240" w:after="64" w:line="320" w:lineRule="auto"/>
      <w:outlineLvl w:val="6"/>
    </w:pPr>
    <w:rPr>
      <w:b/>
      <w:bCs/>
      <w:sz w:val="24"/>
    </w:rPr>
  </w:style>
  <w:style w:type="paragraph" w:styleId="824">
    <w:name w:val="Heading 8"/>
    <w:basedOn w:val="816"/>
    <w:next w:val="816"/>
    <w:link w:val="1096"/>
    <w:uiPriority w:val="0"/>
    <w:qFormat/>
    <w:pPr>
      <w:numPr>
        <w:ilvl w:val="7"/>
        <w:numId w:val="1"/>
      </w:numPr>
      <w:keepLines/>
      <w:keepNext/>
      <w:spacing w:before="240" w:after="64" w:line="320" w:lineRule="auto"/>
      <w:outlineLvl w:val="7"/>
    </w:pPr>
    <w:rPr>
      <w:rFonts w:ascii="Cambria" w:hAnsi="Cambria"/>
      <w:sz w:val="24"/>
    </w:rPr>
  </w:style>
  <w:style w:type="paragraph" w:styleId="825">
    <w:name w:val="Heading 9"/>
    <w:basedOn w:val="816"/>
    <w:next w:val="816"/>
    <w:link w:val="1074"/>
    <w:uiPriority w:val="0"/>
    <w:qFormat/>
    <w:pPr>
      <w:numPr>
        <w:ilvl w:val="8"/>
        <w:numId w:val="1"/>
      </w:numPr>
      <w:keepLines/>
      <w:keepNext/>
      <w:spacing w:before="240" w:after="64" w:line="320" w:lineRule="auto"/>
      <w:outlineLvl w:val="8"/>
    </w:pPr>
    <w:rPr>
      <w:rFonts w:ascii="Cambria" w:hAnsi="Cambria"/>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Body Text"/>
    <w:basedOn w:val="816"/>
    <w:link w:val="1095"/>
    <w:uiPriority w:val="0"/>
    <w:qFormat/>
    <w:pPr>
      <w:jc w:val="center"/>
    </w:pPr>
    <w:rPr>
      <w:rFonts w:eastAsia="幼圆"/>
      <w:b/>
      <w:bCs/>
      <w:sz w:val="44"/>
    </w:rPr>
  </w:style>
  <w:style w:type="paragraph" w:styleId="829">
    <w:name w:val="List 3"/>
    <w:basedOn w:val="816"/>
    <w:uiPriority w:val="99"/>
    <w:unhideWhenUsed/>
    <w:qFormat/>
    <w:pPr>
      <w:ind w:left="1260" w:hanging="420"/>
      <w:spacing w:before="100" w:beforeAutospacing="1" w:after="100" w:afterAutospacing="1"/>
    </w:pPr>
    <w:rPr>
      <w:szCs w:val="21"/>
    </w:rPr>
  </w:style>
  <w:style w:type="paragraph" w:styleId="830">
    <w:name w:val="toc 7"/>
    <w:basedOn w:val="816"/>
    <w:next w:val="816"/>
    <w:uiPriority w:val="39"/>
    <w:unhideWhenUsed/>
    <w:qFormat/>
    <w:pPr>
      <w:ind w:left="2520"/>
    </w:pPr>
    <w:rPr>
      <w:rFonts w:ascii="Calibri" w:hAnsi="Calibri"/>
      <w:szCs w:val="22"/>
    </w:rPr>
  </w:style>
  <w:style w:type="paragraph" w:styleId="831">
    <w:name w:val="Normal Indent"/>
    <w:basedOn w:val="816"/>
    <w:uiPriority w:val="0"/>
    <w:qFormat/>
    <w:pPr>
      <w:ind w:firstLine="420"/>
    </w:pPr>
    <w:rPr>
      <w:b/>
      <w:sz w:val="24"/>
      <w:szCs w:val="20"/>
    </w:rPr>
  </w:style>
  <w:style w:type="paragraph" w:styleId="832">
    <w:name w:val="Caption"/>
    <w:basedOn w:val="816"/>
    <w:next w:val="816"/>
    <w:uiPriority w:val="0"/>
    <w:qFormat/>
    <w:rPr>
      <w:rFonts w:ascii="Cambria" w:hAnsi="Cambria" w:eastAsia="黑体"/>
      <w:sz w:val="20"/>
      <w:szCs w:val="22"/>
    </w:rPr>
  </w:style>
  <w:style w:type="paragraph" w:styleId="833">
    <w:name w:val="Document Map"/>
    <w:basedOn w:val="816"/>
    <w:link w:val="1064"/>
    <w:uiPriority w:val="0"/>
    <w:qFormat/>
    <w:rPr>
      <w:rFonts w:ascii="宋体"/>
      <w:sz w:val="18"/>
      <w:szCs w:val="18"/>
    </w:rPr>
  </w:style>
  <w:style w:type="paragraph" w:styleId="834">
    <w:name w:val="annotation text"/>
    <w:basedOn w:val="816"/>
    <w:link w:val="1088"/>
    <w:uiPriority w:val="99"/>
    <w:qFormat/>
    <w:pPr>
      <w:jc w:val="left"/>
    </w:pPr>
  </w:style>
  <w:style w:type="paragraph" w:styleId="835">
    <w:name w:val="Body Text 3"/>
    <w:basedOn w:val="816"/>
    <w:link w:val="1107"/>
    <w:uiPriority w:val="0"/>
    <w:qFormat/>
    <w:rPr>
      <w:rFonts w:ascii="宋体"/>
      <w:sz w:val="24"/>
      <w:szCs w:val="20"/>
    </w:rPr>
  </w:style>
  <w:style w:type="paragraph" w:styleId="836">
    <w:name w:val="Body Text Indent"/>
    <w:basedOn w:val="816"/>
    <w:next w:val="837"/>
    <w:link w:val="1051"/>
    <w:uiPriority w:val="0"/>
    <w:qFormat/>
    <w:pPr>
      <w:ind w:left="420"/>
      <w:spacing w:after="120"/>
    </w:pPr>
  </w:style>
  <w:style w:type="paragraph" w:styleId="837">
    <w:name w:val="envelope return"/>
    <w:basedOn w:val="816"/>
    <w:uiPriority w:val="99"/>
    <w:unhideWhenUsed/>
    <w:qFormat/>
    <w:rPr>
      <w:rFonts w:ascii="Cambria" w:hAnsi="Cambria" w:eastAsia="宋体" w:cs="Times New Roman"/>
    </w:rPr>
  </w:style>
  <w:style w:type="paragraph" w:styleId="838">
    <w:name w:val="index 4"/>
    <w:basedOn w:val="816"/>
    <w:next w:val="816"/>
    <w:uiPriority w:val="0"/>
    <w:qFormat/>
    <w:pPr>
      <w:ind w:left="600"/>
    </w:pPr>
    <w:rPr>
      <w:rFonts w:ascii="Calibri" w:hAnsi="Calibri"/>
    </w:rPr>
  </w:style>
  <w:style w:type="paragraph" w:styleId="839">
    <w:name w:val="toc 5"/>
    <w:basedOn w:val="816"/>
    <w:next w:val="816"/>
    <w:uiPriority w:val="39"/>
    <w:unhideWhenUsed/>
    <w:qFormat/>
    <w:pPr>
      <w:ind w:left="1680"/>
    </w:pPr>
    <w:rPr>
      <w:rFonts w:ascii="Calibri" w:hAnsi="Calibri"/>
      <w:szCs w:val="22"/>
    </w:rPr>
  </w:style>
  <w:style w:type="paragraph" w:styleId="840">
    <w:name w:val="toc 3"/>
    <w:basedOn w:val="816"/>
    <w:next w:val="816"/>
    <w:uiPriority w:val="39"/>
    <w:qFormat/>
    <w:pPr>
      <w:ind w:left="840"/>
    </w:pPr>
    <w:rPr>
      <w:rFonts w:ascii="Calibri" w:hAnsi="Calibri"/>
      <w:szCs w:val="22"/>
    </w:rPr>
  </w:style>
  <w:style w:type="paragraph" w:styleId="841">
    <w:name w:val="Plain Text"/>
    <w:basedOn w:val="816"/>
    <w:link w:val="1057"/>
    <w:uiPriority w:val="0"/>
    <w:qFormat/>
    <w:rPr>
      <w:rFonts w:ascii="Ari"/>
    </w:rPr>
  </w:style>
  <w:style w:type="paragraph" w:styleId="842">
    <w:name w:val="toc 8"/>
    <w:basedOn w:val="816"/>
    <w:next w:val="816"/>
    <w:uiPriority w:val="39"/>
    <w:unhideWhenUsed/>
    <w:qFormat/>
    <w:pPr>
      <w:ind w:left="2940"/>
    </w:pPr>
    <w:rPr>
      <w:rFonts w:ascii="Calibri" w:hAnsi="Calibri"/>
      <w:szCs w:val="22"/>
    </w:rPr>
  </w:style>
  <w:style w:type="paragraph" w:styleId="843">
    <w:name w:val="Date"/>
    <w:basedOn w:val="816"/>
    <w:next w:val="816"/>
    <w:link w:val="1065"/>
    <w:uiPriority w:val="0"/>
    <w:unhideWhenUsed/>
    <w:qFormat/>
  </w:style>
  <w:style w:type="paragraph" w:styleId="844">
    <w:name w:val="Body Text Indent 2"/>
    <w:basedOn w:val="816"/>
    <w:link w:val="1087"/>
    <w:uiPriority w:val="99"/>
    <w:unhideWhenUsed/>
    <w:qFormat/>
    <w:pPr>
      <w:ind w:firstLine="525"/>
      <w:spacing w:line="420" w:lineRule="exact"/>
    </w:pPr>
    <w:rPr>
      <w:rFonts w:ascii="宋体"/>
      <w:sz w:val="20"/>
      <w:szCs w:val="20"/>
    </w:rPr>
  </w:style>
  <w:style w:type="paragraph" w:styleId="845">
    <w:name w:val="endnote text"/>
    <w:basedOn w:val="816"/>
    <w:link w:val="1025"/>
    <w:uiPriority w:val="99"/>
    <w:semiHidden/>
    <w:unhideWhenUsed/>
    <w:qFormat/>
    <w:rPr>
      <w:sz w:val="20"/>
    </w:rPr>
  </w:style>
  <w:style w:type="paragraph" w:styleId="846">
    <w:name w:val="Balloon Text"/>
    <w:basedOn w:val="816"/>
    <w:link w:val="1110"/>
    <w:uiPriority w:val="0"/>
    <w:qFormat/>
    <w:rPr>
      <w:sz w:val="18"/>
      <w:szCs w:val="18"/>
    </w:rPr>
  </w:style>
  <w:style w:type="paragraph" w:styleId="847">
    <w:name w:val="Footer"/>
    <w:basedOn w:val="816"/>
    <w:link w:val="1100"/>
    <w:uiPriority w:val="99"/>
    <w:qFormat/>
    <w:pPr>
      <w:jc w:val="left"/>
      <w:tabs>
        <w:tab w:val="center" w:pos="4153" w:leader="none"/>
        <w:tab w:val="right" w:pos="8306" w:leader="none"/>
      </w:tabs>
    </w:pPr>
    <w:rPr>
      <w:sz w:val="18"/>
      <w:szCs w:val="18"/>
    </w:rPr>
  </w:style>
  <w:style w:type="paragraph" w:styleId="848">
    <w:name w:val="Header"/>
    <w:basedOn w:val="816"/>
    <w:link w:val="1055"/>
    <w:uiPriority w:val="0"/>
    <w:qFormat/>
    <w:pPr>
      <w:jc w:val="center"/>
      <w:tabs>
        <w:tab w:val="center" w:pos="4153" w:leader="none"/>
        <w:tab w:val="right" w:pos="8306" w:leader="none"/>
      </w:tabs>
      <w:pBdr>
        <w:bottom w:val="single" w:color="auto" w:sz="6" w:space="1"/>
      </w:pBdr>
    </w:pPr>
    <w:rPr>
      <w:sz w:val="18"/>
      <w:szCs w:val="18"/>
    </w:rPr>
  </w:style>
  <w:style w:type="paragraph" w:styleId="849">
    <w:name w:val="toc 1"/>
    <w:basedOn w:val="816"/>
    <w:next w:val="816"/>
    <w:uiPriority w:val="39"/>
    <w:qFormat/>
  </w:style>
  <w:style w:type="paragraph" w:styleId="850">
    <w:name w:val="toc 4"/>
    <w:basedOn w:val="816"/>
    <w:next w:val="816"/>
    <w:uiPriority w:val="39"/>
    <w:unhideWhenUsed/>
    <w:qFormat/>
    <w:pPr>
      <w:ind w:left="1260"/>
    </w:pPr>
    <w:rPr>
      <w:rFonts w:ascii="Calibri" w:hAnsi="Calibri"/>
      <w:szCs w:val="22"/>
    </w:rPr>
  </w:style>
  <w:style w:type="paragraph" w:styleId="851">
    <w:name w:val="index heading"/>
    <w:basedOn w:val="816"/>
    <w:next w:val="852"/>
    <w:uiPriority w:val="99"/>
    <w:unhideWhenUsed/>
    <w:qFormat/>
    <w:pPr>
      <w:tabs>
        <w:tab w:val="left" w:pos="240" w:leader="none"/>
      </w:tabs>
    </w:pPr>
  </w:style>
  <w:style w:type="paragraph" w:styleId="852">
    <w:name w:val="index 1"/>
    <w:basedOn w:val="816"/>
    <w:next w:val="816"/>
    <w:uiPriority w:val="0"/>
    <w:qFormat/>
    <w:pPr>
      <w:jc w:val="center"/>
      <w:spacing w:line="220" w:lineRule="exact"/>
    </w:pPr>
    <w:rPr>
      <w:rFonts w:ascii="仿宋_GB2312" w:hAnsi="Calibri" w:eastAsia="仿宋_GB2312"/>
      <w:szCs w:val="22"/>
    </w:rPr>
  </w:style>
  <w:style w:type="paragraph" w:styleId="853">
    <w:name w:val="Subtitle"/>
    <w:basedOn w:val="816"/>
    <w:next w:val="816"/>
    <w:link w:val="1083"/>
    <w:uiPriority w:val="0"/>
    <w:qFormat/>
    <w:pPr>
      <w:jc w:val="center"/>
      <w:spacing w:before="240" w:after="60" w:line="312" w:lineRule="auto"/>
      <w:outlineLvl w:val="1"/>
    </w:pPr>
    <w:rPr>
      <w:rFonts w:ascii="Cambria" w:hAnsi="Cambria"/>
      <w:b/>
      <w:bCs/>
      <w:sz w:val="32"/>
      <w:szCs w:val="32"/>
    </w:rPr>
  </w:style>
  <w:style w:type="paragraph" w:styleId="854">
    <w:name w:val="footnote text"/>
    <w:basedOn w:val="816"/>
    <w:link w:val="1024"/>
    <w:uiPriority w:val="99"/>
    <w:semiHidden/>
    <w:unhideWhenUsed/>
    <w:qFormat/>
    <w:pPr>
      <w:spacing w:after="40"/>
    </w:pPr>
    <w:rPr>
      <w:sz w:val="18"/>
    </w:rPr>
  </w:style>
  <w:style w:type="paragraph" w:styleId="855">
    <w:name w:val="toc 6"/>
    <w:basedOn w:val="816"/>
    <w:next w:val="816"/>
    <w:uiPriority w:val="39"/>
    <w:unhideWhenUsed/>
    <w:qFormat/>
    <w:pPr>
      <w:ind w:left="2100"/>
    </w:pPr>
    <w:rPr>
      <w:rFonts w:ascii="Calibri" w:hAnsi="Calibri"/>
      <w:szCs w:val="22"/>
    </w:rPr>
  </w:style>
  <w:style w:type="paragraph" w:styleId="856">
    <w:name w:val="Body Text Indent 3"/>
    <w:basedOn w:val="816"/>
    <w:link w:val="1108"/>
    <w:uiPriority w:val="0"/>
    <w:qFormat/>
    <w:pPr>
      <w:ind w:left="420"/>
      <w:spacing w:after="120"/>
    </w:pPr>
    <w:rPr>
      <w:sz w:val="16"/>
      <w:szCs w:val="20"/>
    </w:rPr>
  </w:style>
  <w:style w:type="paragraph" w:styleId="857">
    <w:name w:val="table of figures"/>
    <w:basedOn w:val="816"/>
    <w:next w:val="816"/>
    <w:uiPriority w:val="99"/>
    <w:unhideWhenUsed/>
    <w:qFormat/>
  </w:style>
  <w:style w:type="paragraph" w:styleId="858">
    <w:name w:val="toc 2"/>
    <w:basedOn w:val="816"/>
    <w:next w:val="816"/>
    <w:uiPriority w:val="39"/>
    <w:qFormat/>
    <w:pPr>
      <w:ind w:left="420"/>
    </w:pPr>
    <w:rPr>
      <w:rFonts w:ascii="Calibri" w:hAnsi="Calibri"/>
      <w:szCs w:val="22"/>
    </w:rPr>
  </w:style>
  <w:style w:type="paragraph" w:styleId="859">
    <w:name w:val="toc 9"/>
    <w:basedOn w:val="816"/>
    <w:next w:val="816"/>
    <w:uiPriority w:val="39"/>
    <w:unhideWhenUsed/>
    <w:qFormat/>
    <w:pPr>
      <w:ind w:left="3360"/>
    </w:pPr>
    <w:rPr>
      <w:rFonts w:ascii="Calibri" w:hAnsi="Calibri"/>
      <w:szCs w:val="22"/>
    </w:rPr>
  </w:style>
  <w:style w:type="paragraph" w:styleId="860">
    <w:name w:val="HTML Preformatted"/>
    <w:basedOn w:val="81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1">
    <w:name w:val="Normal (Web)"/>
    <w:basedOn w:val="816"/>
    <w:uiPriority w:val="99"/>
    <w:qFormat/>
    <w:pPr>
      <w:jc w:val="left"/>
      <w:spacing w:before="100" w:beforeAutospacing="1" w:after="100" w:afterAutospacing="1"/>
      <w:widowControl/>
    </w:pPr>
    <w:rPr>
      <w:rFonts w:ascii="宋体" w:hAnsi="宋体" w:cs="宋体"/>
      <w:sz w:val="24"/>
    </w:rPr>
  </w:style>
  <w:style w:type="paragraph" w:styleId="862">
    <w:name w:val="Title"/>
    <w:basedOn w:val="816"/>
    <w:next w:val="816"/>
    <w:link w:val="1060"/>
    <w:uiPriority w:val="0"/>
    <w:qFormat/>
    <w:pPr>
      <w:jc w:val="center"/>
      <w:spacing w:before="240" w:after="60" w:line="420" w:lineRule="atLeast"/>
      <w:outlineLvl w:val="0"/>
    </w:pPr>
    <w:rPr>
      <w:rFonts w:ascii="Arial" w:hAnsi="Arial"/>
      <w:b/>
      <w:sz w:val="32"/>
      <w:szCs w:val="20"/>
    </w:rPr>
  </w:style>
  <w:style w:type="paragraph" w:styleId="863">
    <w:name w:val="annotation subject"/>
    <w:basedOn w:val="834"/>
    <w:next w:val="834"/>
    <w:link w:val="1098"/>
    <w:uiPriority w:val="0"/>
    <w:qFormat/>
    <w:rPr>
      <w:b/>
      <w:bCs/>
    </w:rPr>
  </w:style>
  <w:style w:type="paragraph" w:styleId="864">
    <w:name w:val="Body Text First Indent"/>
    <w:basedOn w:val="828"/>
    <w:uiPriority w:val="0"/>
    <w:qFormat/>
    <w:pPr>
      <w:ind w:firstLine="420"/>
    </w:pPr>
  </w:style>
  <w:style w:type="paragraph" w:styleId="865">
    <w:name w:val="Body Text First Indent 2"/>
    <w:basedOn w:val="836"/>
    <w:uiPriority w:val="99"/>
    <w:qFormat/>
    <w:pPr>
      <w:ind w:firstLine="420"/>
    </w:pPr>
  </w:style>
  <w:style w:type="table" w:styleId="866">
    <w:name w:val="Table Grid"/>
    <w:basedOn w:val="82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7">
    <w:name w:val="Strong"/>
    <w:uiPriority w:val="0"/>
    <w:qFormat/>
    <w:rPr>
      <w:rFonts w:cs="Times New Roman"/>
      <w:b/>
    </w:rPr>
  </w:style>
  <w:style w:type="character" w:styleId="868">
    <w:name w:val="endnote reference"/>
    <w:basedOn w:val="826"/>
    <w:uiPriority w:val="99"/>
    <w:semiHidden/>
    <w:unhideWhenUsed/>
    <w:qFormat/>
    <w:rPr>
      <w:vertAlign w:val="superscript"/>
    </w:rPr>
  </w:style>
  <w:style w:type="character" w:styleId="869">
    <w:name w:val="page number"/>
    <w:basedOn w:val="826"/>
    <w:uiPriority w:val="0"/>
    <w:qFormat/>
    <w:rPr>
      <w:rFonts w:eastAsia="宋体"/>
      <w:b/>
      <w:spacing w:val="0"/>
      <w:sz w:val="24"/>
      <w:szCs w:val="24"/>
      <w:vertAlign w:val="baseline"/>
      <w:lang w:val="en-US" w:eastAsia="zh-CN" w:bidi="ar-SA"/>
    </w:rPr>
  </w:style>
  <w:style w:type="character" w:styleId="870">
    <w:name w:val="FollowedHyperlink"/>
    <w:uiPriority w:val="99"/>
    <w:qFormat/>
    <w:rPr>
      <w:color w:val="800080"/>
      <w:u w:val="single"/>
    </w:rPr>
  </w:style>
  <w:style w:type="character" w:styleId="871">
    <w:name w:val="Emphasis"/>
    <w:uiPriority w:val="0"/>
    <w:qFormat/>
    <w:rPr>
      <w:color w:val="cc0000"/>
    </w:rPr>
  </w:style>
  <w:style w:type="character" w:styleId="872">
    <w:name w:val="Hyperlink"/>
    <w:basedOn w:val="826"/>
    <w:uiPriority w:val="99"/>
    <w:qFormat/>
    <w:rPr>
      <w:color w:val="0000ff"/>
      <w:u w:val="single"/>
    </w:rPr>
  </w:style>
  <w:style w:type="character" w:styleId="873">
    <w:name w:val="annotation reference"/>
    <w:uiPriority w:val="99"/>
    <w:qFormat/>
    <w:rPr>
      <w:sz w:val="21"/>
      <w:szCs w:val="21"/>
    </w:rPr>
  </w:style>
  <w:style w:type="character" w:styleId="874">
    <w:name w:val="HTML Cite"/>
    <w:uiPriority w:val="0"/>
    <w:qFormat/>
    <w:rPr>
      <w:color w:val="008000"/>
    </w:rPr>
  </w:style>
  <w:style w:type="character" w:styleId="875">
    <w:name w:val="footnote reference"/>
    <w:basedOn w:val="826"/>
    <w:uiPriority w:val="99"/>
    <w:unhideWhenUsed/>
    <w:qFormat/>
    <w:rPr>
      <w:vertAlign w:val="superscript"/>
    </w:rPr>
  </w:style>
  <w:style w:type="paragraph" w:styleId="876">
    <w:name w:val="List Paragraph"/>
    <w:basedOn w:val="816"/>
    <w:next w:val="816"/>
    <w:uiPriority w:val="34"/>
    <w:qFormat/>
    <w:pPr>
      <w:ind w:firstLine="420"/>
    </w:pPr>
  </w:style>
  <w:style w:type="paragraph" w:styleId="877" w:customStyle="1">
    <w:name w:val="正文首行缩进1"/>
    <w:basedOn w:val="878"/>
    <w:uiPriority w:val="99"/>
    <w:qFormat/>
    <w:pPr>
      <w:ind w:firstLine="420"/>
    </w:pPr>
  </w:style>
  <w:style w:type="paragraph" w:styleId="878" w:customStyle="1">
    <w:name w:val="正文文本1"/>
    <w:basedOn w:val="816"/>
    <w:uiPriority w:val="0"/>
    <w:unhideWhenUsed/>
    <w:qFormat/>
    <w:pPr>
      <w:spacing w:after="120"/>
    </w:pPr>
    <w:rPr>
      <w:sz w:val="24"/>
      <w:lang w:eastAsia="en-US"/>
    </w:rPr>
  </w:style>
  <w:style w:type="paragraph" w:styleId="879" w:customStyle="1">
    <w:name w:val="段"/>
    <w:basedOn w:val="816"/>
    <w:uiPriority w:val="0"/>
    <w:qFormat/>
    <w:pPr>
      <w:ind w:firstLine="200"/>
      <w:widowControl/>
    </w:pPr>
    <w:rPr>
      <w:rFonts w:hint="eastAsia" w:ascii="宋体"/>
      <w:szCs w:val="20"/>
    </w:rPr>
  </w:style>
  <w:style w:type="paragraph" w:styleId="880" w:customStyle="1">
    <w:name w:val="首行缩进"/>
    <w:basedOn w:val="816"/>
    <w:uiPriority w:val="0"/>
    <w:qFormat/>
    <w:pPr>
      <w:ind w:firstLine="480"/>
      <w:spacing w:line="360" w:lineRule="auto"/>
    </w:pPr>
    <w:rPr>
      <w:rFonts w:ascii="宋体" w:hAnsi="宋体" w:cs="宋体"/>
      <w:sz w:val="24"/>
    </w:rPr>
  </w:style>
  <w:style w:type="character" w:styleId="881" w:customStyle="1">
    <w:name w:val="Heading 1 Char"/>
    <w:basedOn w:val="826"/>
    <w:uiPriority w:val="9"/>
    <w:qFormat/>
    <w:rPr>
      <w:rFonts w:ascii="Arial" w:hAnsi="Arial" w:eastAsia="Arial" w:cs="Arial"/>
      <w:sz w:val="40"/>
      <w:szCs w:val="40"/>
    </w:rPr>
  </w:style>
  <w:style w:type="character" w:styleId="882" w:customStyle="1">
    <w:name w:val="Heading 2 Char"/>
    <w:basedOn w:val="826"/>
    <w:uiPriority w:val="9"/>
    <w:qFormat/>
    <w:rPr>
      <w:rFonts w:ascii="Arial" w:hAnsi="Arial" w:eastAsia="Arial" w:cs="Arial"/>
      <w:sz w:val="34"/>
    </w:rPr>
  </w:style>
  <w:style w:type="character" w:styleId="883" w:customStyle="1">
    <w:name w:val="Heading 3 Char"/>
    <w:basedOn w:val="826"/>
    <w:uiPriority w:val="9"/>
    <w:qFormat/>
    <w:rPr>
      <w:rFonts w:ascii="Arial" w:hAnsi="Arial" w:eastAsia="Arial" w:cs="Arial"/>
      <w:sz w:val="30"/>
      <w:szCs w:val="30"/>
    </w:rPr>
  </w:style>
  <w:style w:type="character" w:styleId="884" w:customStyle="1">
    <w:name w:val="Heading 4 Char"/>
    <w:basedOn w:val="826"/>
    <w:uiPriority w:val="9"/>
    <w:qFormat/>
    <w:rPr>
      <w:rFonts w:ascii="Arial" w:hAnsi="Arial" w:eastAsia="Arial" w:cs="Arial"/>
      <w:b/>
      <w:bCs/>
      <w:sz w:val="26"/>
      <w:szCs w:val="26"/>
    </w:rPr>
  </w:style>
  <w:style w:type="character" w:styleId="885" w:customStyle="1">
    <w:name w:val="Heading 5 Char"/>
    <w:basedOn w:val="826"/>
    <w:uiPriority w:val="9"/>
    <w:qFormat/>
    <w:rPr>
      <w:rFonts w:ascii="Arial" w:hAnsi="Arial" w:eastAsia="Arial" w:cs="Arial"/>
      <w:b/>
      <w:bCs/>
      <w:sz w:val="24"/>
      <w:szCs w:val="24"/>
    </w:rPr>
  </w:style>
  <w:style w:type="character" w:styleId="886" w:customStyle="1">
    <w:name w:val="Heading 6 Char"/>
    <w:basedOn w:val="826"/>
    <w:uiPriority w:val="9"/>
    <w:qFormat/>
    <w:rPr>
      <w:rFonts w:ascii="Arial" w:hAnsi="Arial" w:eastAsia="Arial" w:cs="Arial"/>
      <w:b/>
      <w:bCs/>
      <w:sz w:val="22"/>
      <w:szCs w:val="22"/>
    </w:rPr>
  </w:style>
  <w:style w:type="character" w:styleId="887" w:customStyle="1">
    <w:name w:val="Heading 7 Char"/>
    <w:basedOn w:val="826"/>
    <w:uiPriority w:val="9"/>
    <w:qFormat/>
    <w:rPr>
      <w:rFonts w:ascii="Arial" w:hAnsi="Arial" w:eastAsia="Arial" w:cs="Arial"/>
      <w:b/>
      <w:bCs/>
      <w:i/>
      <w:iCs/>
      <w:sz w:val="22"/>
      <w:szCs w:val="22"/>
    </w:rPr>
  </w:style>
  <w:style w:type="character" w:styleId="888" w:customStyle="1">
    <w:name w:val="Heading 8 Char"/>
    <w:basedOn w:val="826"/>
    <w:uiPriority w:val="9"/>
    <w:qFormat/>
    <w:rPr>
      <w:rFonts w:ascii="Arial" w:hAnsi="Arial" w:eastAsia="Arial" w:cs="Arial"/>
      <w:i/>
      <w:iCs/>
      <w:sz w:val="22"/>
      <w:szCs w:val="22"/>
    </w:rPr>
  </w:style>
  <w:style w:type="character" w:styleId="889" w:customStyle="1">
    <w:name w:val="Heading 9 Char"/>
    <w:basedOn w:val="826"/>
    <w:uiPriority w:val="9"/>
    <w:qFormat/>
    <w:rPr>
      <w:rFonts w:ascii="Arial" w:hAnsi="Arial" w:eastAsia="Arial" w:cs="Arial"/>
      <w:i/>
      <w:iCs/>
      <w:sz w:val="21"/>
      <w:szCs w:val="21"/>
    </w:rPr>
  </w:style>
  <w:style w:type="character" w:styleId="890" w:customStyle="1">
    <w:name w:val="Title Char"/>
    <w:basedOn w:val="826"/>
    <w:uiPriority w:val="10"/>
    <w:qFormat/>
    <w:rPr>
      <w:sz w:val="48"/>
      <w:szCs w:val="48"/>
    </w:rPr>
  </w:style>
  <w:style w:type="character" w:styleId="891" w:customStyle="1">
    <w:name w:val="Subtitle Char"/>
    <w:basedOn w:val="826"/>
    <w:uiPriority w:val="11"/>
    <w:qFormat/>
    <w:rPr>
      <w:sz w:val="24"/>
      <w:szCs w:val="24"/>
    </w:rPr>
  </w:style>
  <w:style w:type="paragraph" w:styleId="892">
    <w:name w:val="Quote"/>
    <w:basedOn w:val="816"/>
    <w:next w:val="816"/>
    <w:link w:val="893"/>
    <w:uiPriority w:val="29"/>
    <w:qFormat/>
    <w:pPr>
      <w:ind w:left="720" w:right="720"/>
    </w:pPr>
    <w:rPr>
      <w:i/>
    </w:rPr>
  </w:style>
  <w:style w:type="character" w:styleId="893" w:customStyle="1">
    <w:name w:val="引用 字符"/>
    <w:link w:val="892"/>
    <w:uiPriority w:val="29"/>
    <w:qFormat/>
    <w:rPr>
      <w:i/>
    </w:rPr>
  </w:style>
  <w:style w:type="paragraph" w:styleId="894">
    <w:name w:val="Intense Quote"/>
    <w:basedOn w:val="816"/>
    <w:next w:val="816"/>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character" w:styleId="896" w:customStyle="1">
    <w:name w:val="Header Char"/>
    <w:basedOn w:val="826"/>
    <w:uiPriority w:val="99"/>
    <w:qFormat/>
  </w:style>
  <w:style w:type="character" w:styleId="897" w:customStyle="1">
    <w:name w:val="Footer Char"/>
    <w:basedOn w:val="826"/>
    <w:uiPriority w:val="99"/>
    <w:qFormat/>
  </w:style>
  <w:style w:type="character" w:styleId="898" w:customStyle="1">
    <w:name w:val="Caption Char"/>
    <w:uiPriority w:val="99"/>
    <w:qFormat/>
  </w:style>
  <w:style w:type="table" w:styleId="899" w:customStyle="1">
    <w:name w:val="Table Grid Light"/>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0" w:customStyle="1">
    <w:name w:val="无格式表格 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basedOn w:val="82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basedOn w:val="82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basedOn w:val="82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basedOn w:val="82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basedOn w:val="82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basedOn w:val="82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basedOn w:val="82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basedOn w:val="82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4" w:customStyle="1">
    <w:name w:val="Grid Table 6 Colorful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basedOn w:val="82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basedOn w:val="82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basedOn w:val="82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82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82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82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82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82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basedOn w:val="82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basedOn w:val="82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basedOn w:val="82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basedOn w:val="82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basedOn w:val="82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basedOn w:val="82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basedOn w:val="82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basedOn w:val="82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basedOn w:val="82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basedOn w:val="82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basedOn w:val="82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basedOn w:val="82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basedOn w:val="82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basedOn w:val="82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basedOn w:val="82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basedOn w:val="82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basedOn w:val="82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basedOn w:val="82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basedOn w:val="82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basedOn w:val="82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basedOn w:val="82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basedOn w:val="82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basedOn w:val="82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basedOn w:val="82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basedOn w:val="82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basedOn w:val="82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basedOn w:val="82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basedOn w:val="82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basedOn w:val="82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basedOn w:val="82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basedOn w:val="82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basedOn w:val="82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basedOn w:val="82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basedOn w:val="82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清单表 7 彩色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basedOn w:val="82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82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82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82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82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82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basedOn w:val="8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basedOn w:val="82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basedOn w:val="82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basedOn w:val="82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basedOn w:val="82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basedOn w:val="82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basedOn w:val="82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basedOn w:val="8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脚注文本 字符"/>
    <w:link w:val="854"/>
    <w:uiPriority w:val="99"/>
    <w:qFormat/>
    <w:rPr>
      <w:sz w:val="18"/>
    </w:rPr>
  </w:style>
  <w:style w:type="character" w:styleId="1025" w:customStyle="1">
    <w:name w:val="尾注文本 字符"/>
    <w:link w:val="845"/>
    <w:uiPriority w:val="99"/>
    <w:qFormat/>
    <w:rPr>
      <w:sz w:val="20"/>
    </w:rPr>
  </w:style>
  <w:style w:type="paragraph" w:styleId="1026" w:customStyle="1">
    <w:name w:val="TOC 标题1"/>
    <w:uiPriority w:val="39"/>
    <w:unhideWhenUsed/>
    <w:qFormat/>
    <w:rPr>
      <w:rFonts w:ascii="Times New Roman" w:hAnsi="Times New Roman" w:eastAsia="宋体" w:cs="Times New Roman"/>
      <w:lang w:val="en-US" w:eastAsia="zh-CN" w:bidi="ar-SA"/>
    </w:rPr>
  </w:style>
  <w:style w:type="paragraph" w:styleId="1027" w:customStyle="1">
    <w:name w:val="索引 41"/>
    <w:basedOn w:val="1028"/>
    <w:next w:val="816"/>
    <w:uiPriority w:val="99"/>
    <w:qFormat/>
    <w:pPr>
      <w:ind w:left="600"/>
    </w:pPr>
    <w:rPr>
      <w:rFonts w:ascii="Verdana" w:hAnsi="Verdana"/>
    </w:rPr>
  </w:style>
  <w:style w:type="paragraph" w:styleId="1028" w:customStyle="1">
    <w:name w:val="正文1"/>
    <w:next w:val="1027"/>
    <w:uiPriority w:val="0"/>
    <w:qFormat/>
    <w:pPr>
      <w:jc w:val="both"/>
      <w:widowControl w:val="off"/>
    </w:pPr>
    <w:rPr>
      <w:rFonts w:ascii="Calibri" w:hAnsi="Calibri" w:eastAsia="宋体" w:cs="Times New Roman"/>
      <w:lang w:val="en-US" w:eastAsia="zh-CN" w:bidi="ar-SA"/>
    </w:rPr>
  </w:style>
  <w:style w:type="paragraph" w:styleId="1029" w:customStyle="1">
    <w:name w:val="一级条标题"/>
    <w:basedOn w:val="1030"/>
    <w:next w:val="87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0" w:customStyle="1">
    <w:name w:val="章标题"/>
    <w:basedOn w:val="816"/>
    <w:next w:val="81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31" w:customStyle="1">
    <w:name w:val="列表段落1"/>
    <w:basedOn w:val="816"/>
    <w:next w:val="834"/>
    <w:uiPriority w:val="99"/>
    <w:qFormat/>
    <w:pPr>
      <w:ind w:firstLine="420"/>
    </w:pPr>
  </w:style>
  <w:style w:type="paragraph" w:styleId="103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33" w:customStyle="1">
    <w:name w:val="正文首行缩进 21"/>
    <w:basedOn w:val="1034"/>
    <w:next w:val="816"/>
    <w:uiPriority w:val="0"/>
    <w:qFormat/>
    <w:pPr>
      <w:ind w:firstLine="420"/>
      <w:spacing w:before="100" w:beforeAutospacing="1"/>
    </w:pPr>
    <w:rPr>
      <w:rFonts w:ascii="宋体" w:hAnsi="宋体"/>
      <w:szCs w:val="21"/>
    </w:rPr>
  </w:style>
  <w:style w:type="paragraph" w:styleId="1034" w:customStyle="1">
    <w:name w:val="正文文本缩进1"/>
    <w:basedOn w:val="816"/>
    <w:uiPriority w:val="0"/>
    <w:qFormat/>
    <w:pPr>
      <w:ind w:firstLine="880"/>
      <w:spacing w:line="500" w:lineRule="exact"/>
    </w:pPr>
  </w:style>
  <w:style w:type="character" w:styleId="1035" w:customStyle="1">
    <w:name w:val="标题 1 Char1"/>
    <w:uiPriority w:val="0"/>
    <w:qFormat/>
    <w:rPr>
      <w:rFonts w:ascii="Times New Roman" w:hAnsi="Times New Roman" w:eastAsia="宋体" w:cs="Times New Roman"/>
      <w:b/>
      <w:bCs/>
      <w:sz w:val="32"/>
      <w:szCs w:val="44"/>
    </w:rPr>
  </w:style>
  <w:style w:type="character" w:styleId="1036" w:customStyle="1">
    <w:name w:val="明显强调1"/>
    <w:uiPriority w:val="0"/>
    <w:qFormat/>
    <w:rPr>
      <w:b/>
      <w:bCs/>
      <w:i/>
      <w:iCs/>
      <w:color w:val="4f81bd"/>
    </w:rPr>
  </w:style>
  <w:style w:type="character" w:styleId="1037" w:customStyle="1">
    <w:name w:val="批注文字 Char2"/>
    <w:uiPriority w:val="0"/>
    <w:qFormat/>
    <w:rPr>
      <w:sz w:val="21"/>
    </w:rPr>
  </w:style>
  <w:style w:type="character" w:styleId="1038" w:customStyle="1">
    <w:name w:val="标题 3 Char_0"/>
    <w:link w:val="1039"/>
    <w:uiPriority w:val="0"/>
    <w:qFormat/>
    <w:rPr>
      <w:b/>
      <w:bCs/>
      <w:sz w:val="32"/>
      <w:szCs w:val="32"/>
    </w:rPr>
  </w:style>
  <w:style w:type="paragraph" w:styleId="1039" w:customStyle="1">
    <w:name w:val="标题 3_0"/>
    <w:basedOn w:val="1040"/>
    <w:next w:val="1040"/>
    <w:link w:val="1038"/>
    <w:uiPriority w:val="0"/>
    <w:qFormat/>
    <w:pPr>
      <w:keepLines/>
      <w:keepNext/>
      <w:spacing w:before="260" w:after="260" w:line="416" w:lineRule="auto"/>
      <w:outlineLvl w:val="2"/>
    </w:pPr>
    <w:rPr>
      <w:b/>
      <w:bCs/>
      <w:sz w:val="32"/>
      <w:szCs w:val="32"/>
    </w:rPr>
  </w:style>
  <w:style w:type="paragraph" w:styleId="104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41" w:customStyle="1">
    <w:name w:val="标题 2 字符"/>
    <w:link w:val="818"/>
    <w:uiPriority w:val="0"/>
    <w:qFormat/>
    <w:rPr>
      <w:rFonts w:ascii="Cambria" w:hAnsi="Cambria"/>
      <w:b/>
      <w:bCs/>
      <w:sz w:val="32"/>
      <w:szCs w:val="32"/>
    </w:rPr>
  </w:style>
  <w:style w:type="character" w:styleId="1042" w:customStyle="1">
    <w:name w:val="正文文本 Char2"/>
    <w:uiPriority w:val="99"/>
    <w:semiHidden/>
    <w:qFormat/>
    <w:rPr>
      <w:rFonts w:ascii="Calibri" w:hAnsi="Calibri" w:eastAsia="宋体" w:cs="Times New Roman"/>
    </w:rPr>
  </w:style>
  <w:style w:type="character" w:styleId="1043" w:customStyle="1">
    <w:name w:val="页脚 Char1"/>
    <w:uiPriority w:val="99"/>
    <w:semiHidden/>
    <w:qFormat/>
    <w:rPr>
      <w:rFonts w:ascii="Calibri" w:hAnsi="Calibri" w:eastAsia="宋体" w:cs="Times New Roman"/>
      <w:sz w:val="18"/>
      <w:szCs w:val="18"/>
    </w:rPr>
  </w:style>
  <w:style w:type="character" w:styleId="1044" w:customStyle="1">
    <w:name w:val="明显引用 Char2"/>
    <w:uiPriority w:val="99"/>
    <w:qFormat/>
    <w:rPr>
      <w:b/>
      <w:bCs/>
      <w:i/>
      <w:iCs/>
      <w:color w:val="4f81bd"/>
      <w:sz w:val="21"/>
      <w:szCs w:val="24"/>
    </w:rPr>
  </w:style>
  <w:style w:type="character" w:styleId="1045" w:customStyle="1">
    <w:name w:val="引用 Char"/>
    <w:link w:val="1046"/>
    <w:uiPriority w:val="0"/>
    <w:qFormat/>
    <w:rPr>
      <w:i/>
      <w:iCs/>
      <w:color w:val="000000"/>
    </w:rPr>
  </w:style>
  <w:style w:type="paragraph" w:styleId="1046" w:customStyle="1">
    <w:name w:val="引用1"/>
    <w:basedOn w:val="816"/>
    <w:next w:val="816"/>
    <w:link w:val="1045"/>
    <w:uiPriority w:val="0"/>
    <w:qFormat/>
    <w:rPr>
      <w:i/>
      <w:iCs/>
      <w:color w:val="000000"/>
      <w:sz w:val="20"/>
      <w:szCs w:val="20"/>
    </w:rPr>
  </w:style>
  <w:style w:type="character" w:styleId="1047" w:customStyle="1">
    <w:name w:val="标题 1 Char_0"/>
    <w:link w:val="1048"/>
    <w:uiPriority w:val="0"/>
    <w:qFormat/>
    <w:rPr>
      <w:b/>
      <w:bCs/>
      <w:sz w:val="44"/>
      <w:szCs w:val="44"/>
    </w:rPr>
  </w:style>
  <w:style w:type="paragraph" w:styleId="1048" w:customStyle="1">
    <w:name w:val="标题 1_0"/>
    <w:basedOn w:val="1040"/>
    <w:next w:val="1040"/>
    <w:link w:val="1047"/>
    <w:uiPriority w:val="0"/>
    <w:qFormat/>
    <w:pPr>
      <w:keepLines/>
      <w:keepNext/>
      <w:spacing w:before="340" w:after="330" w:line="578" w:lineRule="auto"/>
      <w:outlineLvl w:val="0"/>
    </w:pPr>
    <w:rPr>
      <w:b/>
      <w:bCs/>
      <w:sz w:val="44"/>
      <w:szCs w:val="44"/>
    </w:rPr>
  </w:style>
  <w:style w:type="character" w:styleId="1049" w:customStyle="1">
    <w:name w:val="正文文本缩进 3 Char1"/>
    <w:uiPriority w:val="99"/>
    <w:semiHidden/>
    <w:qFormat/>
    <w:rPr>
      <w:sz w:val="16"/>
      <w:szCs w:val="16"/>
    </w:rPr>
  </w:style>
  <w:style w:type="character" w:styleId="1050" w:customStyle="1">
    <w:name w:val="引用 Char1"/>
    <w:uiPriority w:val="29"/>
    <w:qFormat/>
    <w:rPr>
      <w:i/>
      <w:iCs/>
      <w:color w:val="000000"/>
      <w:sz w:val="21"/>
    </w:rPr>
  </w:style>
  <w:style w:type="character" w:styleId="1051" w:customStyle="1">
    <w:name w:val="正文文本缩进 字符"/>
    <w:link w:val="836"/>
    <w:uiPriority w:val="0"/>
    <w:qFormat/>
    <w:rPr>
      <w:sz w:val="21"/>
      <w:szCs w:val="24"/>
    </w:rPr>
  </w:style>
  <w:style w:type="character" w:styleId="1052" w:customStyle="1">
    <w:name w:val="font161"/>
    <w:uiPriority w:val="0"/>
    <w:qFormat/>
    <w:rPr>
      <w:b/>
      <w:sz w:val="32"/>
    </w:rPr>
  </w:style>
  <w:style w:type="character" w:styleId="1053" w:customStyle="1">
    <w:name w:val="标题 4 Char_0"/>
    <w:link w:val="1054"/>
    <w:uiPriority w:val="0"/>
    <w:qFormat/>
    <w:rPr>
      <w:rFonts w:ascii="Arial" w:hAnsi="Arial" w:eastAsia="黑体"/>
      <w:b/>
      <w:bCs/>
      <w:sz w:val="28"/>
      <w:szCs w:val="28"/>
    </w:rPr>
  </w:style>
  <w:style w:type="paragraph" w:styleId="1054" w:customStyle="1">
    <w:name w:val="标题 4_0"/>
    <w:basedOn w:val="1040"/>
    <w:next w:val="1040"/>
    <w:link w:val="1053"/>
    <w:uiPriority w:val="0"/>
    <w:qFormat/>
    <w:pPr>
      <w:keepLines/>
      <w:keepNext/>
      <w:spacing w:before="280" w:after="290" w:line="376" w:lineRule="auto"/>
      <w:outlineLvl w:val="3"/>
    </w:pPr>
    <w:rPr>
      <w:rFonts w:ascii="Arial" w:hAnsi="Arial" w:eastAsia="黑体"/>
      <w:b/>
      <w:bCs/>
      <w:sz w:val="28"/>
      <w:szCs w:val="28"/>
    </w:rPr>
  </w:style>
  <w:style w:type="character" w:styleId="1055" w:customStyle="1">
    <w:name w:val="页眉 字符"/>
    <w:link w:val="848"/>
    <w:uiPriority w:val="0"/>
    <w:qFormat/>
    <w:rPr>
      <w:sz w:val="18"/>
      <w:szCs w:val="18"/>
    </w:rPr>
  </w:style>
  <w:style w:type="character" w:styleId="1056" w:customStyle="1">
    <w:name w:val="标题 6 字符"/>
    <w:link w:val="822"/>
    <w:uiPriority w:val="0"/>
    <w:qFormat/>
    <w:rPr>
      <w:rFonts w:ascii="Cambria" w:hAnsi="Cambria" w:eastAsia="宋体" w:cs="Times New Roman"/>
      <w:b/>
      <w:bCs/>
      <w:sz w:val="24"/>
      <w:szCs w:val="24"/>
    </w:rPr>
  </w:style>
  <w:style w:type="character" w:styleId="1057" w:customStyle="1">
    <w:name w:val="纯文本 字符"/>
    <w:link w:val="841"/>
    <w:uiPriority w:val="0"/>
    <w:qFormat/>
    <w:rPr>
      <w:rFonts w:ascii="Ari"/>
      <w:lang w:val="en-US" w:eastAsia="zh-CN" w:bidi="ar-SA"/>
    </w:rPr>
  </w:style>
  <w:style w:type="character" w:styleId="1058" w:customStyle="1">
    <w:name w:val="引用 Char2"/>
    <w:uiPriority w:val="99"/>
    <w:qFormat/>
    <w:rPr>
      <w:i/>
      <w:iCs/>
      <w:color w:val="000000"/>
      <w:sz w:val="21"/>
      <w:szCs w:val="24"/>
    </w:rPr>
  </w:style>
  <w:style w:type="character" w:styleId="1059" w:customStyle="1">
    <w:name w:val="rvts11"/>
    <w:uiPriority w:val="0"/>
    <w:qFormat/>
    <w:rPr>
      <w:rFonts w:hint="default" w:ascii="KNLe" w:hAnsi="KNLe"/>
      <w:sz w:val="24"/>
      <w:szCs w:val="24"/>
      <w:u w:val="single"/>
    </w:rPr>
  </w:style>
  <w:style w:type="character" w:styleId="1060" w:customStyle="1">
    <w:name w:val="标题 字符"/>
    <w:link w:val="862"/>
    <w:uiPriority w:val="0"/>
    <w:qFormat/>
    <w:rPr>
      <w:rFonts w:ascii="Arial" w:hAnsi="Arial"/>
      <w:b/>
      <w:sz w:val="32"/>
    </w:rPr>
  </w:style>
  <w:style w:type="character" w:styleId="1061" w:customStyle="1">
    <w:name w:val="标题5 Char Char"/>
    <w:link w:val="1062"/>
    <w:uiPriority w:val="0"/>
    <w:qFormat/>
    <w:rPr>
      <w:rFonts w:ascii="Arial" w:hAnsi="Arial"/>
      <w:b/>
      <w:bCs/>
      <w:sz w:val="24"/>
      <w:szCs w:val="32"/>
    </w:rPr>
  </w:style>
  <w:style w:type="paragraph" w:styleId="1062" w:customStyle="1">
    <w:name w:val="标题5"/>
    <w:basedOn w:val="819"/>
    <w:link w:val="1061"/>
    <w:uiPriority w:val="0"/>
    <w:qFormat/>
    <w:pPr>
      <w:numPr>
        <w:ilvl w:val="0"/>
        <w:numId w:val="0"/>
      </w:numPr>
      <w:spacing w:line="413" w:lineRule="auto"/>
    </w:pPr>
    <w:rPr>
      <w:rFonts w:ascii="Arial" w:hAnsi="Arial"/>
      <w:sz w:val="24"/>
    </w:rPr>
  </w:style>
  <w:style w:type="character" w:styleId="1063" w:customStyle="1">
    <w:name w:val="副标题 Char2"/>
    <w:uiPriority w:val="11"/>
    <w:qFormat/>
    <w:rPr>
      <w:rFonts w:ascii="Cambria" w:hAnsi="Cambria" w:cs="Times New Roman"/>
      <w:b/>
      <w:bCs/>
      <w:sz w:val="32"/>
      <w:szCs w:val="32"/>
    </w:rPr>
  </w:style>
  <w:style w:type="character" w:styleId="1064" w:customStyle="1">
    <w:name w:val="文档结构图 字符"/>
    <w:link w:val="833"/>
    <w:uiPriority w:val="0"/>
    <w:qFormat/>
    <w:rPr>
      <w:rFonts w:ascii="宋体"/>
      <w:sz w:val="18"/>
      <w:szCs w:val="18"/>
    </w:rPr>
  </w:style>
  <w:style w:type="character" w:styleId="1065" w:customStyle="1">
    <w:name w:val="日期 字符"/>
    <w:link w:val="843"/>
    <w:uiPriority w:val="0"/>
    <w:qFormat/>
    <w:rPr>
      <w:sz w:val="21"/>
      <w:szCs w:val="24"/>
    </w:rPr>
  </w:style>
  <w:style w:type="character" w:styleId="1066" w:customStyle="1">
    <w:name w:val="批注主题 Char1"/>
    <w:uiPriority w:val="0"/>
    <w:qFormat/>
    <w:rPr>
      <w:b/>
      <w:bCs/>
      <w:sz w:val="21"/>
      <w:szCs w:val="22"/>
    </w:rPr>
  </w:style>
  <w:style w:type="character" w:styleId="1067" w:customStyle="1">
    <w:name w:val="font31"/>
    <w:uiPriority w:val="0"/>
    <w:qFormat/>
    <w:rPr>
      <w:rFonts w:hint="eastAsia" w:ascii="宋体" w:hAnsi="宋体" w:eastAsia="宋体" w:cs="宋体"/>
      <w:color w:val="000000"/>
      <w:sz w:val="20"/>
      <w:szCs w:val="20"/>
      <w:u w:val="none"/>
    </w:rPr>
  </w:style>
  <w:style w:type="character" w:styleId="1068" w:customStyle="1">
    <w:name w:val="明显引用 Char"/>
    <w:link w:val="1069"/>
    <w:uiPriority w:val="0"/>
    <w:qFormat/>
    <w:rPr>
      <w:b/>
      <w:bCs/>
      <w:i/>
      <w:iCs/>
      <w:color w:val="4f81bd"/>
    </w:rPr>
  </w:style>
  <w:style w:type="paragraph" w:styleId="1069" w:customStyle="1">
    <w:name w:val="明显引用1"/>
    <w:basedOn w:val="816"/>
    <w:next w:val="816"/>
    <w:link w:val="1068"/>
    <w:uiPriority w:val="0"/>
    <w:qFormat/>
    <w:pPr>
      <w:ind w:left="936" w:right="936"/>
      <w:spacing w:before="200" w:after="280"/>
      <w:pBdr>
        <w:bottom w:val="single" w:color="4F81BD" w:sz="4" w:space="4"/>
      </w:pBdr>
    </w:pPr>
    <w:rPr>
      <w:b/>
      <w:bCs/>
      <w:i/>
      <w:iCs/>
      <w:color w:val="4f81bd"/>
      <w:sz w:val="20"/>
      <w:szCs w:val="20"/>
    </w:rPr>
  </w:style>
  <w:style w:type="character" w:styleId="1070" w:customStyle="1">
    <w:name w:val="标题 5 字符"/>
    <w:link w:val="821"/>
    <w:uiPriority w:val="0"/>
    <w:qFormat/>
    <w:rPr>
      <w:b/>
      <w:bCs/>
      <w:sz w:val="28"/>
      <w:szCs w:val="28"/>
    </w:rPr>
  </w:style>
  <w:style w:type="character" w:styleId="1071" w:customStyle="1">
    <w:name w:val="日期 Char1"/>
    <w:uiPriority w:val="0"/>
    <w:qFormat/>
    <w:rPr>
      <w:rFonts w:ascii="Calibri" w:hAnsi="Calibri" w:eastAsia="宋体" w:cs="Times New Roman"/>
    </w:rPr>
  </w:style>
  <w:style w:type="character" w:styleId="1072" w:customStyle="1">
    <w:name w:val="批注框文本 Char1"/>
    <w:uiPriority w:val="0"/>
    <w:qFormat/>
    <w:rPr>
      <w:sz w:val="18"/>
      <w:szCs w:val="18"/>
    </w:rPr>
  </w:style>
  <w:style w:type="character" w:styleId="1073" w:customStyle="1">
    <w:name w:val="标题 Char1"/>
    <w:uiPriority w:val="10"/>
    <w:qFormat/>
    <w:rPr>
      <w:rFonts w:ascii="Cambria" w:hAnsi="Cambria" w:eastAsia="宋体" w:cs="Times New Roman"/>
      <w:b/>
      <w:bCs/>
      <w:sz w:val="32"/>
      <w:szCs w:val="32"/>
    </w:rPr>
  </w:style>
  <w:style w:type="character" w:styleId="1074" w:customStyle="1">
    <w:name w:val="标题 9 字符"/>
    <w:link w:val="825"/>
    <w:uiPriority w:val="0"/>
    <w:qFormat/>
    <w:rPr>
      <w:rFonts w:ascii="Cambria" w:hAnsi="Cambria" w:eastAsia="宋体" w:cs="Times New Roman"/>
      <w:sz w:val="21"/>
      <w:szCs w:val="21"/>
    </w:rPr>
  </w:style>
  <w:style w:type="character" w:styleId="1075" w:customStyle="1">
    <w:name w:val="不明显参考1"/>
    <w:uiPriority w:val="0"/>
    <w:qFormat/>
    <w:rPr>
      <w:smallCaps/>
      <w:color w:val="c0504d"/>
      <w:u w:val="single"/>
    </w:rPr>
  </w:style>
  <w:style w:type="character" w:styleId="1076" w:customStyle="1">
    <w:name w:val="批注文字 Char1"/>
    <w:uiPriority w:val="0"/>
    <w:qFormat/>
    <w:rPr>
      <w:rFonts w:ascii="Calibri" w:hAnsi="Calibri" w:eastAsia="宋体" w:cs="Times New Roman"/>
    </w:rPr>
  </w:style>
  <w:style w:type="character" w:styleId="1077" w:customStyle="1">
    <w:name w:val="标题 Char2"/>
    <w:uiPriority w:val="10"/>
    <w:qFormat/>
    <w:rPr>
      <w:rFonts w:ascii="Cambria" w:hAnsi="Cambria" w:cs="Times New Roman"/>
      <w:b/>
      <w:bCs/>
      <w:sz w:val="32"/>
      <w:szCs w:val="32"/>
    </w:rPr>
  </w:style>
  <w:style w:type="character" w:styleId="1078" w:customStyle="1">
    <w:name w:val="正文文本 3 Char1"/>
    <w:uiPriority w:val="99"/>
    <w:semiHidden/>
    <w:qFormat/>
    <w:rPr>
      <w:sz w:val="16"/>
      <w:szCs w:val="16"/>
    </w:rPr>
  </w:style>
  <w:style w:type="character" w:styleId="1079" w:customStyle="1">
    <w:name w:val="批注主题 Char2"/>
    <w:uiPriority w:val="0"/>
    <w:qFormat/>
    <w:rPr>
      <w:b/>
      <w:bCs/>
      <w:sz w:val="21"/>
    </w:rPr>
  </w:style>
  <w:style w:type="character" w:styleId="1080" w:customStyle="1">
    <w:name w:val="标题 3 字符"/>
    <w:link w:val="819"/>
    <w:uiPriority w:val="0"/>
    <w:qFormat/>
    <w:rPr>
      <w:b/>
      <w:bCs/>
      <w:sz w:val="32"/>
      <w:szCs w:val="32"/>
    </w:rPr>
  </w:style>
  <w:style w:type="character" w:styleId="1081" w:customStyle="1">
    <w:name w:val="正文文本 Char_0"/>
    <w:link w:val="1082"/>
    <w:uiPriority w:val="0"/>
    <w:qFormat/>
    <w:rPr>
      <w:szCs w:val="24"/>
    </w:rPr>
  </w:style>
  <w:style w:type="paragraph" w:styleId="1082" w:customStyle="1">
    <w:name w:val="正文文本_0"/>
    <w:basedOn w:val="1040"/>
    <w:link w:val="1081"/>
    <w:uiPriority w:val="0"/>
    <w:qFormat/>
    <w:pPr>
      <w:spacing w:after="120"/>
    </w:pPr>
    <w:rPr>
      <w:sz w:val="20"/>
    </w:rPr>
  </w:style>
  <w:style w:type="character" w:styleId="1083" w:customStyle="1">
    <w:name w:val="副标题 字符"/>
    <w:link w:val="853"/>
    <w:uiPriority w:val="0"/>
    <w:qFormat/>
    <w:rPr>
      <w:rFonts w:ascii="Cambria" w:hAnsi="Cambria"/>
      <w:b/>
      <w:bCs/>
      <w:sz w:val="32"/>
      <w:szCs w:val="32"/>
    </w:rPr>
  </w:style>
  <w:style w:type="character" w:styleId="1084" w:customStyle="1">
    <w:name w:val="bookmark"/>
    <w:basedOn w:val="826"/>
    <w:uiPriority w:val="0"/>
    <w:qFormat/>
  </w:style>
  <w:style w:type="character" w:styleId="1085" w:customStyle="1">
    <w:name w:val="标题 5 Char_0"/>
    <w:link w:val="1086"/>
    <w:uiPriority w:val="0"/>
    <w:qFormat/>
    <w:rPr>
      <w:rFonts w:ascii="Calibri" w:hAnsi="Calibri"/>
      <w:b/>
      <w:bCs/>
      <w:sz w:val="28"/>
      <w:szCs w:val="28"/>
    </w:rPr>
  </w:style>
  <w:style w:type="paragraph" w:styleId="1086" w:customStyle="1">
    <w:name w:val="标题 5_0"/>
    <w:basedOn w:val="1040"/>
    <w:next w:val="1040"/>
    <w:link w:val="1085"/>
    <w:uiPriority w:val="0"/>
    <w:qFormat/>
    <w:pPr>
      <w:keepLines/>
      <w:keepNext/>
      <w:spacing w:before="280" w:after="290" w:line="372" w:lineRule="auto"/>
      <w:outlineLvl w:val="4"/>
    </w:pPr>
    <w:rPr>
      <w:rFonts w:ascii="Calibri" w:hAnsi="Calibri"/>
      <w:b/>
      <w:bCs/>
      <w:sz w:val="28"/>
      <w:szCs w:val="28"/>
    </w:rPr>
  </w:style>
  <w:style w:type="character" w:styleId="1087" w:customStyle="1">
    <w:name w:val="正文文本缩进 2 字符"/>
    <w:link w:val="844"/>
    <w:uiPriority w:val="99"/>
    <w:qFormat/>
    <w:rPr>
      <w:rFonts w:ascii="宋体"/>
    </w:rPr>
  </w:style>
  <w:style w:type="character" w:styleId="1088" w:customStyle="1">
    <w:name w:val="批注文字 字符"/>
    <w:link w:val="834"/>
    <w:uiPriority w:val="99"/>
    <w:qFormat/>
    <w:rPr>
      <w:sz w:val="21"/>
      <w:szCs w:val="24"/>
    </w:rPr>
  </w:style>
  <w:style w:type="character" w:styleId="1089" w:customStyle="1">
    <w:name w:val="font11"/>
    <w:uiPriority w:val="0"/>
    <w:qFormat/>
    <w:rPr>
      <w:rFonts w:hint="eastAsia" w:ascii="宋体" w:hAnsi="宋体" w:eastAsia="宋体" w:cs="宋体"/>
      <w:color w:val="000000"/>
      <w:sz w:val="20"/>
      <w:szCs w:val="20"/>
      <w:u w:val="none"/>
    </w:rPr>
  </w:style>
  <w:style w:type="character" w:styleId="1090" w:customStyle="1">
    <w:name w:val="明显参考1"/>
    <w:uiPriority w:val="0"/>
    <w:qFormat/>
    <w:rPr>
      <w:b/>
      <w:bCs/>
      <w:smallCaps/>
      <w:color w:val="c0504d"/>
      <w:spacing w:val="5"/>
      <w:u w:val="single"/>
    </w:rPr>
  </w:style>
  <w:style w:type="character" w:styleId="1091" w:customStyle="1">
    <w:name w:val="超链接_0"/>
    <w:uiPriority w:val="99"/>
    <w:qFormat/>
    <w:rPr>
      <w:rFonts w:ascii="Calibri" w:hAnsi="Calibri"/>
      <w:color w:val="0000ff"/>
      <w:u w:val="single"/>
    </w:rPr>
  </w:style>
  <w:style w:type="character" w:styleId="1092" w:customStyle="1">
    <w:name w:val="文档结构图 Char2"/>
    <w:uiPriority w:val="99"/>
    <w:semiHidden/>
    <w:qFormat/>
    <w:rPr>
      <w:rFonts w:ascii="宋体" w:hAnsi="Calibri" w:eastAsia="宋体" w:cs="Times New Roman"/>
      <w:sz w:val="18"/>
      <w:szCs w:val="18"/>
    </w:rPr>
  </w:style>
  <w:style w:type="character" w:styleId="1093" w:customStyle="1">
    <w:name w:val="textcontents"/>
    <w:uiPriority w:val="0"/>
    <w:qFormat/>
    <w:rPr>
      <w:rFonts w:cs="Times New Roman"/>
    </w:rPr>
  </w:style>
  <w:style w:type="character" w:styleId="1094" w:customStyle="1">
    <w:name w:val="标题 1 Char"/>
    <w:uiPriority w:val="0"/>
    <w:qFormat/>
    <w:rPr>
      <w:b/>
      <w:bCs/>
      <w:sz w:val="32"/>
      <w:szCs w:val="44"/>
    </w:rPr>
  </w:style>
  <w:style w:type="character" w:styleId="1095" w:customStyle="1">
    <w:name w:val="正文文本 字符"/>
    <w:link w:val="828"/>
    <w:uiPriority w:val="0"/>
    <w:qFormat/>
    <w:rPr>
      <w:rFonts w:eastAsia="幼圆"/>
      <w:b/>
      <w:bCs/>
      <w:sz w:val="44"/>
      <w:szCs w:val="24"/>
    </w:rPr>
  </w:style>
  <w:style w:type="character" w:styleId="1096" w:customStyle="1">
    <w:name w:val="标题 8 字符"/>
    <w:link w:val="824"/>
    <w:uiPriority w:val="0"/>
    <w:qFormat/>
    <w:rPr>
      <w:rFonts w:ascii="Cambria" w:hAnsi="Cambria" w:eastAsia="宋体" w:cs="Times New Roman"/>
      <w:sz w:val="24"/>
      <w:szCs w:val="24"/>
    </w:rPr>
  </w:style>
  <w:style w:type="character" w:styleId="1097" w:customStyle="1">
    <w:name w:val="副标题 Char1"/>
    <w:uiPriority w:val="11"/>
    <w:qFormat/>
    <w:rPr>
      <w:rFonts w:ascii="Cambria" w:hAnsi="Cambria" w:cs="Times New Roman"/>
      <w:b/>
      <w:bCs/>
      <w:sz w:val="32"/>
      <w:szCs w:val="32"/>
    </w:rPr>
  </w:style>
  <w:style w:type="character" w:styleId="1098" w:customStyle="1">
    <w:name w:val="批注主题 字符"/>
    <w:link w:val="863"/>
    <w:uiPriority w:val="0"/>
    <w:qFormat/>
    <w:rPr>
      <w:b/>
      <w:bCs/>
      <w:sz w:val="21"/>
      <w:szCs w:val="24"/>
    </w:rPr>
  </w:style>
  <w:style w:type="character" w:styleId="1099" w:customStyle="1">
    <w:name w:val="书籍标题1"/>
    <w:uiPriority w:val="0"/>
    <w:qFormat/>
    <w:rPr>
      <w:b/>
      <w:bCs/>
      <w:smallCaps/>
      <w:spacing w:val="5"/>
    </w:rPr>
  </w:style>
  <w:style w:type="character" w:styleId="1100" w:customStyle="1">
    <w:name w:val="页脚 字符"/>
    <w:link w:val="847"/>
    <w:uiPriority w:val="99"/>
    <w:qFormat/>
    <w:rPr>
      <w:sz w:val="18"/>
      <w:szCs w:val="18"/>
    </w:rPr>
  </w:style>
  <w:style w:type="character" w:styleId="1101" w:customStyle="1">
    <w:name w:val="标题4 Char Char"/>
    <w:link w:val="1102"/>
    <w:uiPriority w:val="0"/>
    <w:qFormat/>
    <w:rPr>
      <w:rFonts w:ascii="Arial" w:hAnsi="Arial"/>
      <w:b/>
      <w:bCs/>
      <w:sz w:val="24"/>
      <w:szCs w:val="32"/>
    </w:rPr>
  </w:style>
  <w:style w:type="paragraph" w:styleId="1102" w:customStyle="1">
    <w:name w:val="标题4"/>
    <w:basedOn w:val="818"/>
    <w:next w:val="838"/>
    <w:link w:val="1101"/>
    <w:uiPriority w:val="0"/>
    <w:qFormat/>
    <w:pPr>
      <w:numPr>
        <w:ilvl w:val="0"/>
        <w:numId w:val="0"/>
      </w:numPr>
      <w:spacing w:line="413" w:lineRule="auto"/>
    </w:pPr>
    <w:rPr>
      <w:rFonts w:ascii="Arial" w:hAnsi="Arial"/>
      <w:sz w:val="24"/>
    </w:rPr>
  </w:style>
  <w:style w:type="character" w:styleId="1103" w:customStyle="1">
    <w:name w:val="正文文本 Char1"/>
    <w:uiPriority w:val="0"/>
    <w:qFormat/>
    <w:rPr>
      <w:rFonts w:ascii="Calibri" w:hAnsi="Calibri" w:eastAsia="宋体" w:cs="Times New Roman"/>
    </w:rPr>
  </w:style>
  <w:style w:type="character" w:styleId="1104" w:customStyle="1">
    <w:name w:val="明显引用 Char1"/>
    <w:uiPriority w:val="30"/>
    <w:qFormat/>
    <w:rPr>
      <w:b/>
      <w:bCs/>
      <w:i/>
      <w:iCs/>
      <w:color w:val="4f81bd"/>
      <w:sz w:val="21"/>
    </w:rPr>
  </w:style>
  <w:style w:type="character" w:styleId="1105" w:customStyle="1">
    <w:name w:val="页眉 Char1"/>
    <w:uiPriority w:val="99"/>
    <w:semiHidden/>
    <w:qFormat/>
    <w:rPr>
      <w:rFonts w:ascii="Calibri" w:hAnsi="Calibri" w:eastAsia="宋体" w:cs="Times New Roman"/>
      <w:sz w:val="18"/>
      <w:szCs w:val="18"/>
    </w:rPr>
  </w:style>
  <w:style w:type="character" w:styleId="1106" w:customStyle="1">
    <w:name w:val="不明显强调1"/>
    <w:uiPriority w:val="0"/>
    <w:qFormat/>
    <w:rPr>
      <w:i/>
      <w:iCs/>
      <w:color w:val="808080"/>
    </w:rPr>
  </w:style>
  <w:style w:type="character" w:styleId="1107" w:customStyle="1">
    <w:name w:val="正文文本 3 字符"/>
    <w:link w:val="835"/>
    <w:uiPriority w:val="0"/>
    <w:qFormat/>
    <w:rPr>
      <w:rFonts w:ascii="宋体"/>
      <w:sz w:val="24"/>
    </w:rPr>
  </w:style>
  <w:style w:type="character" w:styleId="1108" w:customStyle="1">
    <w:name w:val="正文文本缩进 3 字符"/>
    <w:link w:val="856"/>
    <w:uiPriority w:val="0"/>
    <w:qFormat/>
    <w:rPr>
      <w:sz w:val="16"/>
    </w:rPr>
  </w:style>
  <w:style w:type="character" w:styleId="1109" w:customStyle="1">
    <w:name w:val="font21"/>
    <w:uiPriority w:val="0"/>
    <w:qFormat/>
    <w:rPr>
      <w:rFonts w:hint="eastAsia" w:ascii="宋体" w:hAnsi="宋体" w:eastAsia="宋体" w:cs="宋体"/>
      <w:color w:val="000000"/>
      <w:sz w:val="20"/>
      <w:szCs w:val="20"/>
      <w:u w:val="none"/>
    </w:rPr>
  </w:style>
  <w:style w:type="character" w:styleId="1110" w:customStyle="1">
    <w:name w:val="批注框文本 字符"/>
    <w:link w:val="846"/>
    <w:uiPriority w:val="0"/>
    <w:qFormat/>
    <w:rPr>
      <w:sz w:val="18"/>
      <w:szCs w:val="18"/>
    </w:rPr>
  </w:style>
  <w:style w:type="character" w:styleId="1111" w:customStyle="1">
    <w:name w:val="标题 7 字符"/>
    <w:link w:val="823"/>
    <w:uiPriority w:val="0"/>
    <w:qFormat/>
    <w:rPr>
      <w:b/>
      <w:bCs/>
      <w:sz w:val="24"/>
      <w:szCs w:val="24"/>
    </w:rPr>
  </w:style>
  <w:style w:type="character" w:styleId="1112" w:customStyle="1">
    <w:name w:val="文档结构图 Char1"/>
    <w:uiPriority w:val="0"/>
    <w:qFormat/>
    <w:rPr>
      <w:rFonts w:ascii="宋体" w:hAnsi="Calibri" w:eastAsia="宋体" w:cs="Times New Roman"/>
      <w:sz w:val="18"/>
      <w:szCs w:val="18"/>
    </w:rPr>
  </w:style>
  <w:style w:type="character" w:styleId="1113" w:customStyle="1">
    <w:name w:val="标题 2 Char_0"/>
    <w:link w:val="1114"/>
    <w:uiPriority w:val="0"/>
    <w:qFormat/>
    <w:rPr>
      <w:rFonts w:ascii="Cambria" w:hAnsi="Cambria"/>
      <w:b/>
      <w:bCs/>
      <w:sz w:val="32"/>
      <w:szCs w:val="32"/>
    </w:rPr>
  </w:style>
  <w:style w:type="paragraph" w:styleId="1114" w:customStyle="1">
    <w:name w:val="标题 2_0"/>
    <w:basedOn w:val="1040"/>
    <w:next w:val="1040"/>
    <w:link w:val="1113"/>
    <w:uiPriority w:val="0"/>
    <w:unhideWhenUsed/>
    <w:qFormat/>
    <w:pPr>
      <w:keepLines/>
      <w:keepNext/>
      <w:spacing w:before="260" w:after="260" w:line="416" w:lineRule="auto"/>
      <w:outlineLvl w:val="1"/>
    </w:pPr>
    <w:rPr>
      <w:rFonts w:ascii="Cambria" w:hAnsi="Cambria"/>
      <w:b/>
      <w:bCs/>
      <w:sz w:val="32"/>
      <w:szCs w:val="32"/>
    </w:rPr>
  </w:style>
  <w:style w:type="character" w:styleId="1115" w:customStyle="1">
    <w:name w:val="日期 Char2"/>
    <w:uiPriority w:val="99"/>
    <w:semiHidden/>
    <w:qFormat/>
    <w:rPr>
      <w:rFonts w:ascii="Calibri" w:hAnsi="Calibri" w:eastAsia="宋体" w:cs="Times New Roman"/>
    </w:rPr>
  </w:style>
  <w:style w:type="character" w:styleId="1116" w:customStyle="1">
    <w:name w:val="批注框文本 Char2"/>
    <w:uiPriority w:val="99"/>
    <w:semiHidden/>
    <w:qFormat/>
    <w:rPr>
      <w:rFonts w:ascii="Calibri" w:hAnsi="Calibri" w:eastAsia="宋体" w:cs="Times New Roman"/>
      <w:sz w:val="18"/>
      <w:szCs w:val="18"/>
    </w:rPr>
  </w:style>
  <w:style w:type="character" w:styleId="1117" w:customStyle="1">
    <w:name w:val="标题 4 字符"/>
    <w:link w:val="820"/>
    <w:uiPriority w:val="0"/>
    <w:qFormat/>
    <w:rPr>
      <w:rFonts w:ascii="Cambria" w:hAnsi="Cambria" w:eastAsia="宋体" w:cs="Times New Roman"/>
      <w:b/>
      <w:bCs/>
      <w:sz w:val="28"/>
      <w:szCs w:val="28"/>
    </w:rPr>
  </w:style>
  <w:style w:type="character" w:styleId="1118" w:customStyle="1">
    <w:name w:val="列出段落 Char"/>
    <w:link w:val="1119"/>
    <w:uiPriority w:val="99"/>
    <w:qFormat/>
    <w:rPr>
      <w:sz w:val="21"/>
      <w:szCs w:val="24"/>
    </w:rPr>
  </w:style>
  <w:style w:type="paragraph" w:styleId="1119" w:customStyle="1">
    <w:name w:val="List Paragraph1"/>
    <w:basedOn w:val="816"/>
    <w:link w:val="1118"/>
    <w:uiPriority w:val="99"/>
    <w:qFormat/>
    <w:pPr>
      <w:ind w:firstLine="420"/>
    </w:pPr>
  </w:style>
  <w:style w:type="paragraph" w:styleId="1120" w:customStyle="1">
    <w:name w:val="样式 标题 3 + (中文) 黑体 小四 非加粗 段前: 7.8 磅 段后: 0 磅 行距: 固定值 20 磅"/>
    <w:basedOn w:val="819"/>
    <w:next w:val="816"/>
    <w:uiPriority w:val="0"/>
    <w:qFormat/>
    <w:pPr>
      <w:spacing w:before="0" w:after="0" w:line="400" w:lineRule="exact"/>
    </w:pPr>
    <w:rPr>
      <w:rFonts w:eastAsia="黑体" w:cs="宋体"/>
      <w:b w:val="0"/>
      <w:bCs w:val="0"/>
      <w:sz w:val="24"/>
      <w:szCs w:val="20"/>
    </w:rPr>
  </w:style>
  <w:style w:type="paragraph" w:styleId="1121" w:customStyle="1">
    <w:name w:val="_Style 34"/>
    <w:next w:val="816"/>
    <w:uiPriority w:val="0"/>
    <w:qFormat/>
    <w:pPr>
      <w:jc w:val="both"/>
      <w:widowControl w:val="off"/>
    </w:pPr>
    <w:rPr>
      <w:rFonts w:ascii="Times New Roman" w:hAnsi="Times New Roman" w:eastAsia="宋体" w:cs="Times New Roman"/>
      <w:sz w:val="21"/>
      <w:lang w:val="en-US" w:eastAsia="zh-CN" w:bidi="ar-SA"/>
    </w:rPr>
  </w:style>
  <w:style w:type="paragraph" w:styleId="112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23" w:customStyle="1">
    <w:name w:val="_Style 36"/>
    <w:next w:val="816"/>
    <w:uiPriority w:val="0"/>
    <w:qFormat/>
    <w:pPr>
      <w:jc w:val="both"/>
      <w:widowControl w:val="off"/>
    </w:pPr>
    <w:rPr>
      <w:rFonts w:ascii="Times New Roman" w:hAnsi="Times New Roman" w:eastAsia="宋体" w:cs="Times New Roman"/>
      <w:sz w:val="21"/>
      <w:lang w:val="en-US" w:eastAsia="zh-CN" w:bidi="ar-SA"/>
    </w:rPr>
  </w:style>
  <w:style w:type="paragraph" w:styleId="1124" w:customStyle="1">
    <w:name w:val="空半行"/>
    <w:basedOn w:val="816"/>
    <w:uiPriority w:val="0"/>
    <w:qFormat/>
    <w:pPr>
      <w:spacing w:line="120" w:lineRule="exact"/>
    </w:pPr>
    <w:rPr>
      <w:rFonts w:ascii="Calibri" w:hAnsi="Calibri" w:eastAsia="仿宋_GB2312"/>
      <w:color w:val="ffffff"/>
      <w:sz w:val="30"/>
      <w:szCs w:val="22"/>
    </w:rPr>
  </w:style>
  <w:style w:type="paragraph" w:styleId="1125" w:customStyle="1">
    <w:name w:val="1方案格式1"/>
    <w:basedOn w:val="817"/>
    <w:uiPriority w:val="0"/>
    <w:qFormat/>
    <w:pPr>
      <w:numPr>
        <w:numId w:val="2"/>
      </w:numPr>
      <w:ind w:left="0" w:firstLine="0"/>
      <w:spacing w:line="360" w:lineRule="auto"/>
      <w:tabs>
        <w:tab w:val="left" w:pos="360" w:leader="none"/>
      </w:tabs>
    </w:pPr>
    <w:rPr>
      <w:rFonts w:eastAsia="微软雅黑"/>
      <w:bCs w:val="0"/>
      <w:sz w:val="48"/>
    </w:rPr>
  </w:style>
  <w:style w:type="paragraph" w:styleId="1126" w:customStyle="1">
    <w:name w:val="格式３"/>
    <w:basedOn w:val="816"/>
    <w:uiPriority w:val="0"/>
    <w:qFormat/>
    <w:pPr>
      <w:ind w:left="600" w:hanging="600"/>
      <w:spacing w:line="420" w:lineRule="exact"/>
    </w:pPr>
    <w:rPr>
      <w:rFonts w:ascii="宋体" w:hAnsi="宋体"/>
      <w:color w:val="000000"/>
      <w:sz w:val="24"/>
      <w:szCs w:val="20"/>
    </w:rPr>
  </w:style>
  <w:style w:type="paragraph" w:styleId="1127" w:customStyle="1">
    <w:name w:val="列出段落1"/>
    <w:basedOn w:val="816"/>
    <w:uiPriority w:val="34"/>
    <w:qFormat/>
    <w:pPr>
      <w:contextualSpacing/>
      <w:ind w:left="720"/>
      <w:jc w:val="left"/>
      <w:widowControl/>
    </w:pPr>
    <w:rPr>
      <w:rFonts w:ascii="Arial" w:hAnsi="Arial" w:eastAsia="黑体"/>
      <w:sz w:val="24"/>
      <w:lang w:eastAsia="en-US"/>
    </w:rPr>
  </w:style>
  <w:style w:type="paragraph" w:styleId="1128" w:customStyle="1">
    <w:name w:val="正文空2字"/>
    <w:basedOn w:val="816"/>
    <w:uiPriority w:val="0"/>
    <w:qFormat/>
    <w:pPr>
      <w:ind w:firstLine="200"/>
      <w:spacing w:line="360" w:lineRule="auto"/>
    </w:pPr>
    <w:rPr>
      <w:sz w:val="24"/>
      <w:lang w:bidi="en-US"/>
    </w:rPr>
  </w:style>
  <w:style w:type="paragraph" w:styleId="1129"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30" w:customStyle="1">
    <w:name w:val="目录 5_0"/>
    <w:basedOn w:val="1040"/>
    <w:next w:val="1040"/>
    <w:uiPriority w:val="39"/>
    <w:qFormat/>
    <w:pPr>
      <w:ind w:left="1680"/>
    </w:pPr>
    <w:rPr>
      <w:rFonts w:ascii="Calibri" w:hAnsi="Calibri"/>
    </w:rPr>
  </w:style>
  <w:style w:type="paragraph" w:styleId="1131" w:customStyle="1">
    <w:name w:val="修订1"/>
    <w:uiPriority w:val="0"/>
    <w:qFormat/>
    <w:rPr>
      <w:rFonts w:ascii="Times New Roman" w:hAnsi="Times New Roman" w:eastAsia="宋体" w:cs="Times New Roman"/>
      <w:sz w:val="21"/>
      <w:szCs w:val="24"/>
      <w:lang w:val="en-US" w:eastAsia="zh-CN" w:bidi="ar-SA"/>
    </w:rPr>
  </w:style>
  <w:style w:type="paragraph" w:styleId="1132" w:customStyle="1">
    <w:name w:val="标题 11"/>
    <w:basedOn w:val="1028"/>
    <w:next w:val="102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33" w:customStyle="1">
    <w:name w:val="正文 + 行距: 固定值 20 磅"/>
    <w:basedOn w:val="816"/>
    <w:uiPriority w:val="0"/>
    <w:qFormat/>
    <w:pPr>
      <w:ind w:firstLine="716"/>
      <w:spacing w:line="400" w:lineRule="exact"/>
    </w:pPr>
    <w:rPr>
      <w:rFonts w:ascii="Calibri" w:hAnsi="Calibri"/>
      <w:szCs w:val="22"/>
    </w:rPr>
  </w:style>
  <w:style w:type="paragraph" w:styleId="1134" w:customStyle="1">
    <w:name w:val="TOC 标题11"/>
    <w:basedOn w:val="817"/>
    <w:next w:val="81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35" w:customStyle="1">
    <w:name w:val="表格文字"/>
    <w:basedOn w:val="816"/>
    <w:link w:val="1166"/>
    <w:uiPriority w:val="0"/>
    <w:qFormat/>
    <w:pPr>
      <w:jc w:val="left"/>
      <w:spacing w:line="420" w:lineRule="atLeast"/>
    </w:pPr>
    <w:rPr>
      <w:rFonts w:ascii="Calibri" w:hAnsi="Calibri"/>
      <w:szCs w:val="22"/>
    </w:rPr>
  </w:style>
  <w:style w:type="paragraph" w:styleId="1136" w:customStyle="1">
    <w:name w:val="flNote"/>
    <w:basedOn w:val="816"/>
    <w:uiPriority w:val="0"/>
    <w:qFormat/>
    <w:pPr>
      <w:jc w:val="center"/>
      <w:spacing w:before="320" w:after="160" w:line="360" w:lineRule="atLeast"/>
    </w:pPr>
    <w:rPr>
      <w:rFonts w:ascii="Arial" w:hAnsi="Calibri" w:eastAsia="黑体"/>
      <w:sz w:val="30"/>
      <w:szCs w:val="22"/>
    </w:rPr>
  </w:style>
  <w:style w:type="paragraph" w:styleId="1137" w:customStyle="1">
    <w:name w:val="文章正文"/>
    <w:basedOn w:val="816"/>
    <w:uiPriority w:val="99"/>
    <w:qFormat/>
    <w:pPr>
      <w:ind w:firstLine="480"/>
      <w:spacing w:line="360" w:lineRule="auto"/>
    </w:pPr>
    <w:rPr>
      <w:rFonts w:ascii="仿宋_GB2312" w:hAnsi="宋体" w:eastAsia="仿宋_GB2312"/>
      <w:color w:val="ff0000"/>
      <w:sz w:val="24"/>
    </w:rPr>
  </w:style>
  <w:style w:type="paragraph" w:styleId="1138" w:customStyle="1">
    <w:name w:val="表格"/>
    <w:basedOn w:val="816"/>
    <w:uiPriority w:val="0"/>
    <w:qFormat/>
    <w:pPr>
      <w:jc w:val="center"/>
    </w:pPr>
    <w:rPr>
      <w:rFonts w:ascii="华文细黑" w:hAnsi="华文细黑"/>
      <w:szCs w:val="22"/>
    </w:rPr>
  </w:style>
  <w:style w:type="paragraph" w:styleId="1139" w:customStyle="1">
    <w:name w:val="Char"/>
    <w:basedOn w:val="816"/>
    <w:uiPriority w:val="0"/>
    <w:qFormat/>
    <w:pPr>
      <w:jc w:val="left"/>
      <w:spacing w:after="160" w:line="240" w:lineRule="exact"/>
      <w:widowControl/>
    </w:pPr>
    <w:rPr>
      <w:rFonts w:ascii="Verdana" w:hAnsi="Verdana"/>
      <w:sz w:val="20"/>
      <w:szCs w:val="20"/>
      <w:lang w:eastAsia="en-US"/>
    </w:rPr>
  </w:style>
  <w:style w:type="paragraph" w:styleId="114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41" w:customStyle="1">
    <w:name w:val="列出段落2"/>
    <w:basedOn w:val="816"/>
    <w:uiPriority w:val="99"/>
    <w:qFormat/>
    <w:pPr>
      <w:ind w:firstLine="420"/>
    </w:pPr>
  </w:style>
  <w:style w:type="paragraph" w:styleId="1142" w:customStyle="1">
    <w:name w:val="6'"/>
    <w:basedOn w:val="816"/>
    <w:uiPriority w:val="0"/>
    <w:qFormat/>
    <w:pPr>
      <w:jc w:val="center"/>
      <w:spacing w:line="320" w:lineRule="exact"/>
    </w:pPr>
    <w:rPr>
      <w:rFonts w:ascii="Calibri" w:hAnsi="Calibri"/>
      <w:spacing w:val="20"/>
      <w:szCs w:val="22"/>
    </w:rPr>
  </w:style>
  <w:style w:type="paragraph" w:styleId="1143" w:customStyle="1">
    <w:name w:val="Char Char Char Char Char Char Char"/>
    <w:basedOn w:val="816"/>
    <w:uiPriority w:val="0"/>
    <w:qFormat/>
    <w:pPr>
      <w:spacing w:line="360" w:lineRule="auto"/>
    </w:pPr>
    <w:rPr>
      <w:sz w:val="24"/>
      <w:szCs w:val="20"/>
    </w:rPr>
  </w:style>
  <w:style w:type="paragraph" w:styleId="1144" w:customStyle="1">
    <w:name w:val="2方案格式2"/>
    <w:basedOn w:val="1125"/>
    <w:uiPriority w:val="0"/>
    <w:qFormat/>
    <w:pPr>
      <w:numPr>
        <w:ilvl w:val="1"/>
      </w:numPr>
      <w:spacing w:before="50" w:after="50" w:line="240" w:lineRule="auto"/>
      <w:outlineLvl w:val="1"/>
    </w:pPr>
    <w:rPr>
      <w:sz w:val="44"/>
    </w:rPr>
  </w:style>
  <w:style w:type="paragraph" w:styleId="114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46" w:customStyle="1">
    <w:name w:val="文档正文"/>
    <w:basedOn w:val="816"/>
    <w:uiPriority w:val="0"/>
    <w:qFormat/>
    <w:pPr>
      <w:ind w:firstLine="567"/>
      <w:spacing w:line="480" w:lineRule="atLeast"/>
    </w:pPr>
    <w:rPr>
      <w:rFonts w:ascii="Ari" w:eastAsia="Ari"/>
      <w:sz w:val="28"/>
      <w:szCs w:val="20"/>
    </w:rPr>
  </w:style>
  <w:style w:type="paragraph" w:styleId="1147" w:customStyle="1">
    <w:name w:val="txt"/>
    <w:basedOn w:val="816"/>
    <w:uiPriority w:val="0"/>
    <w:qFormat/>
    <w:pPr>
      <w:jc w:val="left"/>
      <w:spacing w:before="100" w:beforeAutospacing="1" w:after="100" w:afterAutospacing="1"/>
      <w:widowControl/>
    </w:pPr>
    <w:rPr>
      <w:rFonts w:ascii="宋体" w:hAnsi="宋体" w:cs="宋体"/>
      <w:sz w:val="24"/>
    </w:rPr>
  </w:style>
  <w:style w:type="paragraph" w:styleId="1148" w:customStyle="1">
    <w:name w:val="目录 4_0"/>
    <w:basedOn w:val="1040"/>
    <w:next w:val="1040"/>
    <w:uiPriority w:val="39"/>
    <w:qFormat/>
    <w:pPr>
      <w:ind w:left="1260"/>
    </w:pPr>
    <w:rPr>
      <w:rFonts w:ascii="Calibri" w:hAnsi="Calibri"/>
    </w:rPr>
  </w:style>
  <w:style w:type="paragraph" w:styleId="1149" w:customStyle="1">
    <w:name w:val="目录 3_0"/>
    <w:basedOn w:val="1040"/>
    <w:next w:val="1040"/>
    <w:uiPriority w:val="39"/>
    <w:qFormat/>
    <w:pPr>
      <w:ind w:left="840"/>
    </w:pPr>
    <w:rPr>
      <w:rFonts w:ascii="Calibri" w:hAnsi="Calibri"/>
    </w:rPr>
  </w:style>
  <w:style w:type="paragraph" w:styleId="1150" w:customStyle="1">
    <w:name w:val="样式 标题 1 + 黑体 三号 非加粗 居中 段前: 6 磅 段后: 6 磅 行距: 固定值 20 磅"/>
    <w:basedOn w:val="817"/>
    <w:uiPriority w:val="0"/>
    <w:qFormat/>
    <w:pPr>
      <w:numPr>
        <w:numId w:val="0"/>
      </w:numPr>
      <w:spacing w:before="120" w:after="120" w:line="400" w:lineRule="exact"/>
    </w:pPr>
    <w:rPr>
      <w:rFonts w:ascii="黑体" w:hAnsi="黑体" w:eastAsia="黑体"/>
      <w:b w:val="0"/>
      <w:bCs w:val="0"/>
      <w:szCs w:val="20"/>
    </w:rPr>
  </w:style>
  <w:style w:type="paragraph" w:styleId="1151" w:customStyle="1">
    <w:name w:val="1"/>
    <w:basedOn w:val="816"/>
    <w:next w:val="816"/>
    <w:uiPriority w:val="0"/>
    <w:qFormat/>
    <w:rPr>
      <w:rFonts w:ascii="Calibri" w:hAnsi="Calibri"/>
      <w:szCs w:val="22"/>
    </w:rPr>
  </w:style>
  <w:style w:type="paragraph" w:styleId="1152" w:customStyle="1">
    <w:name w:val="Blockquote_0"/>
    <w:basedOn w:val="1040"/>
    <w:uiPriority w:val="0"/>
    <w:qFormat/>
    <w:pPr>
      <w:ind w:left="360" w:right="360"/>
      <w:jc w:val="left"/>
      <w:spacing w:before="100" w:after="100"/>
    </w:pPr>
    <w:rPr>
      <w:rFonts w:ascii="Calibri" w:hAnsi="Calibri" w:eastAsia="Times New Roman"/>
      <w:sz w:val="24"/>
      <w:szCs w:val="20"/>
    </w:rPr>
  </w:style>
  <w:style w:type="paragraph" w:styleId="1153" w:customStyle="1">
    <w:name w:val="列出段落11"/>
    <w:basedOn w:val="816"/>
    <w:uiPriority w:val="0"/>
    <w:qFormat/>
    <w:pPr>
      <w:contextualSpacing/>
      <w:ind w:left="720"/>
      <w:jc w:val="left"/>
      <w:widowControl/>
    </w:pPr>
    <w:rPr>
      <w:rFonts w:ascii="Arial" w:hAnsi="Arial" w:eastAsia="黑体"/>
      <w:sz w:val="24"/>
      <w:lang w:eastAsia="en-US"/>
    </w:rPr>
  </w:style>
  <w:style w:type="paragraph" w:styleId="1154" w:customStyle="1">
    <w:name w:val="样式 标题 2 + Times New Roman 四号 非加粗 段前: 5 磅 段后: 0 磅 行距: 固定值 20..._0"/>
    <w:basedOn w:val="816"/>
    <w:uiPriority w:val="0"/>
    <w:qFormat/>
    <w:pPr>
      <w:keepLines/>
      <w:keepNext/>
      <w:spacing w:before="100" w:line="360" w:lineRule="auto"/>
      <w:outlineLvl w:val="1"/>
    </w:pPr>
    <w:rPr>
      <w:rFonts w:eastAsia="Times New Roman" w:cs="宋体"/>
      <w:sz w:val="28"/>
      <w:szCs w:val="20"/>
    </w:rPr>
  </w:style>
  <w:style w:type="paragraph" w:styleId="1155" w:customStyle="1">
    <w:name w:val="op_mapdots_left"/>
    <w:basedOn w:val="816"/>
    <w:uiPriority w:val="0"/>
    <w:qFormat/>
    <w:pPr>
      <w:jc w:val="left"/>
      <w:spacing w:before="100" w:beforeAutospacing="1" w:after="100" w:afterAutospacing="1"/>
      <w:widowControl/>
    </w:pPr>
    <w:rPr>
      <w:rFonts w:ascii="宋体" w:hAnsi="宋体" w:cs="宋体"/>
      <w:sz w:val="24"/>
    </w:rPr>
  </w:style>
  <w:style w:type="paragraph" w:styleId="1156" w:customStyle="1">
    <w:name w:val="p0"/>
    <w:basedOn w:val="816"/>
    <w:uiPriority w:val="0"/>
    <w:qFormat/>
    <w:pPr>
      <w:widowControl/>
    </w:pPr>
    <w:rPr>
      <w:b/>
      <w:bCs/>
      <w:sz w:val="24"/>
    </w:rPr>
  </w:style>
  <w:style w:type="paragraph" w:styleId="1157" w:customStyle="1">
    <w:name w:val="Blockquote"/>
    <w:basedOn w:val="816"/>
    <w:uiPriority w:val="0"/>
    <w:qFormat/>
    <w:pPr>
      <w:ind w:left="360" w:right="360"/>
      <w:jc w:val="left"/>
      <w:spacing w:before="100" w:after="100"/>
    </w:pPr>
    <w:rPr>
      <w:rFonts w:ascii="Calibri" w:hAnsi="Calibri"/>
      <w:sz w:val="24"/>
      <w:szCs w:val="22"/>
    </w:rPr>
  </w:style>
  <w:style w:type="paragraph" w:styleId="1158" w:customStyle="1">
    <w:name w:val="3方案格式3"/>
    <w:basedOn w:val="1144"/>
    <w:uiPriority w:val="0"/>
    <w:qFormat/>
    <w:pPr>
      <w:numPr>
        <w:ilvl w:val="2"/>
      </w:numPr>
      <w:outlineLvl w:val="2"/>
    </w:pPr>
    <w:rPr>
      <w:sz w:val="32"/>
    </w:rPr>
  </w:style>
  <w:style w:type="paragraph" w:styleId="1159" w:customStyle="1">
    <w:name w:val="样式 标题 2 + Times New Roman 四号 非加粗 段前: 5 磅 段后: 0 磅 行距: 固定值 20..."/>
    <w:basedOn w:val="81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60" w:customStyle="1">
    <w:name w:val="标题2"/>
    <w:basedOn w:val="818"/>
    <w:next w:val="828"/>
    <w:uiPriority w:val="0"/>
    <w:qFormat/>
    <w:pPr>
      <w:spacing w:before="156" w:after="156" w:line="360" w:lineRule="auto"/>
    </w:pPr>
    <w:rPr>
      <w:bCs w:val="0"/>
      <w:sz w:val="24"/>
    </w:rPr>
  </w:style>
  <w:style w:type="paragraph" w:styleId="1161" w:customStyle="1">
    <w:name w:val="普通正文"/>
    <w:basedOn w:val="816"/>
    <w:uiPriority w:val="0"/>
    <w:qFormat/>
    <w:pPr>
      <w:ind w:firstLine="480"/>
      <w:jc w:val="left"/>
      <w:spacing w:before="120" w:after="120" w:line="360" w:lineRule="auto"/>
    </w:pPr>
    <w:rPr>
      <w:rFonts w:ascii="Arial" w:hAnsi="Arial"/>
      <w:sz w:val="24"/>
    </w:rPr>
  </w:style>
  <w:style w:type="paragraph" w:styleId="1162" w:customStyle="1">
    <w:name w:val="正文11"/>
    <w:uiPriority w:val="0"/>
    <w:qFormat/>
    <w:rPr>
      <w:rFonts w:ascii="Calibri" w:hAnsi="Calibri" w:eastAsia="宋体" w:cs="Calibri"/>
      <w:sz w:val="24"/>
      <w:szCs w:val="24"/>
      <w:lang w:val="en-US" w:eastAsia="zh-CN" w:bidi="ar-SA"/>
    </w:rPr>
  </w:style>
  <w:style w:type="paragraph" w:styleId="1163" w:customStyle="1">
    <w:name w:val="正文2"/>
    <w:uiPriority w:val="0"/>
    <w:qFormat/>
    <w:rPr>
      <w:rFonts w:ascii="Times New Roman" w:hAnsi="Times New Roman" w:eastAsia="微软雅黑" w:cs="Times New Roman"/>
      <w:sz w:val="24"/>
      <w:szCs w:val="24"/>
      <w:lang w:val="en-US" w:eastAsia="zh-CN" w:bidi="ar-SA"/>
    </w:rPr>
  </w:style>
  <w:style w:type="paragraph" w:styleId="1164" w:customStyle="1">
    <w:name w:val="列出段落3"/>
    <w:basedOn w:val="816"/>
    <w:uiPriority w:val="34"/>
    <w:qFormat/>
    <w:pPr>
      <w:ind w:firstLine="420"/>
      <w:jc w:val="left"/>
      <w:spacing w:after="200"/>
      <w:widowControl/>
    </w:pPr>
    <w:rPr>
      <w:rFonts w:ascii="Tahoma" w:hAnsi="Tahoma" w:eastAsia="微软雅黑"/>
      <w:sz w:val="22"/>
      <w:szCs w:val="22"/>
    </w:rPr>
  </w:style>
  <w:style w:type="paragraph" w:styleId="1165" w:customStyle="1">
    <w:name w:val="纯文本2"/>
    <w:basedOn w:val="816"/>
    <w:uiPriority w:val="0"/>
    <w:qFormat/>
    <w:pPr>
      <w:jc w:val="left"/>
    </w:pPr>
    <w:rPr>
      <w:rFonts w:hint="eastAsia" w:ascii="宋体" w:hAnsi="宋体" w:cs="Courier New"/>
      <w:sz w:val="24"/>
      <w:szCs w:val="20"/>
      <w:lang w:bidi="hi-IN"/>
    </w:rPr>
  </w:style>
  <w:style w:type="character" w:styleId="1166" w:customStyle="1">
    <w:name w:val="表格文字 字符"/>
    <w:link w:val="1135"/>
    <w:uiPriority w:val="0"/>
    <w:qFormat/>
    <w:rPr>
      <w:rFonts w:ascii="Calibri" w:hAnsi="Calibri" w:eastAsia="宋体" w:cs="Times New Roman"/>
      <w:sz w:val="21"/>
      <w:szCs w:val="22"/>
    </w:rPr>
  </w:style>
  <w:style w:type="paragraph" w:styleId="1167" w:customStyle="1">
    <w:name w:val="trs_editor"/>
    <w:basedOn w:val="816"/>
    <w:uiPriority w:val="0"/>
    <w:qFormat/>
    <w:pPr>
      <w:jc w:val="left"/>
      <w:spacing w:before="100" w:beforeAutospacing="1" w:after="100" w:afterAutospacing="1"/>
      <w:widowControl/>
    </w:pPr>
    <w:rPr>
      <w:rFonts w:ascii="宋体" w:hAnsi="宋体" w:cs="宋体"/>
      <w:sz w:val="24"/>
    </w:rPr>
  </w:style>
  <w:style w:type="paragraph" w:styleId="1168" w:customStyle="1">
    <w:name w:val="标题二级"/>
    <w:basedOn w:val="816"/>
    <w:uiPriority w:val="0"/>
    <w:qFormat/>
    <w:pPr>
      <w:ind w:firstLine="412"/>
    </w:pPr>
    <w:rPr>
      <w:rFonts w:ascii="宋体" w:hAnsi="宋体"/>
      <w:szCs w:val="21"/>
    </w:rPr>
  </w:style>
  <w:style w:type="paragraph" w:styleId="1169"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70"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71" w:customStyle="1">
    <w:name w:val="无"/>
    <w:uiPriority w:val="0"/>
    <w:qFormat/>
  </w:style>
  <w:style w:type="paragraph" w:styleId="1172" w:customStyle="1">
    <w:name w:val="Heading #2|1"/>
    <w:basedOn w:val="816"/>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73" w:customStyle="1">
    <w:name w:val="Body text|1"/>
    <w:basedOn w:val="816"/>
    <w:uiPriority w:val="0"/>
    <w:qFormat/>
    <w:pPr>
      <w:ind w:firstLine="400"/>
      <w:spacing w:line="401" w:lineRule="auto"/>
    </w:pPr>
    <w:rPr>
      <w:rFonts w:ascii="宋体" w:hAnsi="宋体" w:cs="宋体"/>
      <w:sz w:val="30"/>
      <w:szCs w:val="30"/>
      <w:lang w:val="zh-TW" w:eastAsia="zh-TW" w:bidi="zh-TW"/>
    </w:rPr>
  </w:style>
  <w:style w:type="paragraph" w:styleId="1174" w:customStyle="1">
    <w:name w:val="_Style 1931"/>
    <w:basedOn w:val="816"/>
    <w:next w:val="876"/>
    <w:uiPriority w:val="34"/>
    <w:qFormat/>
    <w:pPr>
      <w:ind w:firstLine="420"/>
    </w:pPr>
  </w:style>
  <w:style w:type="paragraph" w:styleId="1175" w:customStyle="1">
    <w:name w:val="段落"/>
    <w:basedOn w:val="816"/>
    <w:uiPriority w:val="0"/>
    <w:qFormat/>
    <w:pPr>
      <w:ind w:firstLine="480"/>
      <w:spacing w:line="460" w:lineRule="exact"/>
    </w:pPr>
    <w:rPr>
      <w:rFonts w:ascii="Calibri" w:hAnsi="Calibri"/>
      <w:sz w:val="24"/>
      <w:szCs w:val="20"/>
    </w:rPr>
  </w:style>
  <w:style w:type="paragraph" w:styleId="1176" w:customStyle="1">
    <w:name w:val="列出段落4"/>
    <w:basedOn w:val="816"/>
    <w:uiPriority w:val="99"/>
    <w:unhideWhenUsed/>
    <w:qFormat/>
    <w:pPr>
      <w:ind w:firstLine="420"/>
      <w:spacing w:line="360" w:lineRule="auto"/>
    </w:pPr>
    <w:rPr>
      <w:rFonts w:ascii="Calibri" w:hAnsi="Calibri" w:eastAsia="仿宋_GB2312"/>
      <w:sz w:val="32"/>
      <w:szCs w:val="22"/>
    </w:rPr>
  </w:style>
  <w:style w:type="paragraph" w:styleId="1177"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78" w:customStyle="1">
    <w:name w:val="正文 A"/>
    <w:next w:val="828"/>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79"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80" w:customStyle="1">
    <w:name w:val="*正文"/>
    <w:basedOn w:val="816"/>
    <w:uiPriority w:val="0"/>
    <w:qFormat/>
    <w:pPr>
      <w:spacing w:line="360" w:lineRule="auto"/>
      <w:widowControl/>
    </w:pPr>
    <w:rPr>
      <w:rFonts w:ascii="仿宋_GB2312" w:eastAsia="仿宋_GB2312"/>
      <w:sz w:val="24"/>
      <w:szCs w:val="28"/>
    </w:rPr>
  </w:style>
  <w:style w:type="table" w:styleId="1181" w:customStyle="1">
    <w:name w:val="Table Normal"/>
    <w:uiPriority w:val="0"/>
    <w:semiHidden/>
    <w:unhideWhenUsed/>
    <w:qFormat/>
    <w:tblPr>
      <w:tblCellMar>
        <w:left w:w="0" w:type="dxa"/>
        <w:top w:w="0" w:type="dxa"/>
        <w:right w:w="0" w:type="dxa"/>
        <w:bottom w:w="0" w:type="dxa"/>
      </w:tblCellMar>
    </w:tblPr>
  </w:style>
  <w:style w:type="character" w:styleId="1182" w:customStyle="1">
    <w:name w:val="form-textarea-print1"/>
    <w:uiPriority w:val="0"/>
    <w:qFormat/>
    <w:rPr>
      <w:rFonts w:hint="default" w:ascii="微软雅黑" w:hAnsi="微软雅黑" w:eastAsia="宋体" w:cs="Times New Roman"/>
      <w:sz w:val="18"/>
      <w:szCs w:val="18"/>
    </w:rPr>
  </w:style>
  <w:style w:type="character" w:styleId="1183" w:customStyle="1">
    <w:name w:val="cke_colorbox"/>
    <w:basedOn w:val="826"/>
    <w:uiPriority w:val="0"/>
    <w:qFormat/>
  </w:style>
  <w:style w:type="character" w:styleId="1184" w:customStyle="1">
    <w:name w:val="cke_colorbox1"/>
    <w:basedOn w:val="826"/>
    <w:uiPriority w:val="0"/>
    <w:qFormat/>
  </w:style>
  <w:style w:type="character" w:styleId="1185" w:customStyle="1">
    <w:name w:val="pwdtips_alert"/>
    <w:basedOn w:val="826"/>
    <w:uiPriority w:val="0"/>
    <w:qFormat/>
    <w:rPr>
      <w:shd w:val="clear" w:color="auto" w:fill="ffeaa6"/>
    </w:rPr>
  </w:style>
  <w:style w:type="character" w:styleId="1186" w:customStyle="1">
    <w:name w:val="l-btn-left"/>
    <w:basedOn w:val="826"/>
    <w:uiPriority w:val="0"/>
    <w:qFormat/>
  </w:style>
  <w:style w:type="character" w:styleId="1187" w:customStyle="1">
    <w:name w:val="l-btn-left1"/>
    <w:basedOn w:val="826"/>
    <w:uiPriority w:val="0"/>
    <w:qFormat/>
  </w:style>
  <w:style w:type="character" w:styleId="1188" w:customStyle="1">
    <w:name w:val="l-btn-left2"/>
    <w:basedOn w:val="826"/>
    <w:uiPriority w:val="0"/>
    <w:qFormat/>
  </w:style>
  <w:style w:type="character" w:styleId="1189" w:customStyle="1">
    <w:name w:val="l-btn-left3"/>
    <w:basedOn w:val="826"/>
    <w:uiPriority w:val="0"/>
    <w:qFormat/>
  </w:style>
  <w:style w:type="character" w:styleId="1190" w:customStyle="1">
    <w:name w:val="combo2"/>
    <w:basedOn w:val="826"/>
    <w:uiPriority w:val="0"/>
    <w:qFormat/>
  </w:style>
  <w:style w:type="character" w:styleId="1191" w:customStyle="1">
    <w:name w:val="l-btn-empty"/>
    <w:basedOn w:val="826"/>
    <w:uiPriority w:val="0"/>
    <w:qFormat/>
  </w:style>
  <w:style w:type="character" w:styleId="1192" w:customStyle="1">
    <w:name w:val="red"/>
    <w:basedOn w:val="826"/>
    <w:uiPriority w:val="0"/>
    <w:qFormat/>
    <w:rPr>
      <w:color w:val="ff0000"/>
    </w:rPr>
  </w:style>
  <w:style w:type="character" w:styleId="1193" w:customStyle="1">
    <w:name w:val="l-btn-text"/>
    <w:basedOn w:val="826"/>
    <w:uiPriority w:val="0"/>
    <w:qFormat/>
    <w:rPr>
      <w:color w:val="1864ac"/>
      <w:sz w:val="14"/>
      <w:szCs w:val="14"/>
    </w:rPr>
  </w:style>
  <w:style w:type="character" w:styleId="1194" w:customStyle="1">
    <w:name w:val="l-btn-text1"/>
    <w:basedOn w:val="826"/>
    <w:uiPriority w:val="0"/>
    <w:qFormat/>
  </w:style>
  <w:style w:type="character" w:styleId="1195" w:customStyle="1">
    <w:name w:val="green"/>
    <w:basedOn w:val="826"/>
    <w:uiPriority w:val="0"/>
    <w:qFormat/>
    <w:rPr>
      <w:color w:val="00a521"/>
    </w:rPr>
  </w:style>
  <w:style w:type="character" w:styleId="1196" w:customStyle="1">
    <w:name w:val="valueinfo"/>
    <w:basedOn w:val="826"/>
    <w:uiPriority w:val="0"/>
    <w:qFormat/>
    <w:rPr>
      <w:color w:val="666666"/>
    </w:rPr>
  </w:style>
  <w:style w:type="character" w:styleId="1197" w:customStyle="1">
    <w:name w:val="tree-file2"/>
    <w:basedOn w:val="826"/>
    <w:uiPriority w:val="0"/>
    <w:qFormat/>
  </w:style>
  <w:style w:type="character" w:styleId="1198" w:customStyle="1">
    <w:name w:val="vainfo"/>
    <w:basedOn w:val="826"/>
    <w:uiPriority w:val="0"/>
    <w:qFormat/>
    <w:rPr>
      <w:color w:val="ff0000"/>
      <w:shd w:val="clear" w:color="auto" w:fill="ffe4e4"/>
    </w:rPr>
  </w:style>
  <w:style w:type="character" w:styleId="1199" w:customStyle="1">
    <w:name w:val="pwdtips_ok"/>
    <w:basedOn w:val="826"/>
    <w:uiPriority w:val="0"/>
    <w:qFormat/>
    <w:rPr>
      <w:shd w:val="clear" w:color="auto" w:fill="b4ffa6"/>
    </w:rPr>
  </w:style>
  <w:style w:type="character" w:styleId="1200" w:customStyle="1">
    <w:name w:val="pwdtips_error"/>
    <w:basedOn w:val="826"/>
    <w:uiPriority w:val="0"/>
    <w:qFormat/>
    <w:rPr>
      <w:shd w:val="clear" w:color="auto" w:fill="ffa6a6"/>
    </w:rPr>
  </w:style>
  <w:style w:type="character" w:styleId="1201" w:customStyle="1">
    <w:name w:val="tree-title4"/>
    <w:basedOn w:val="826"/>
    <w:uiPriority w:val="0"/>
    <w:qFormat/>
    <w:rPr>
      <w:color w:val="1864ac"/>
    </w:rPr>
  </w:style>
  <w:style w:type="character" w:styleId="1202" w:customStyle="1">
    <w:name w:val="tree-title5"/>
    <w:basedOn w:val="826"/>
    <w:uiPriority w:val="0"/>
    <w:qFormat/>
    <w:rPr>
      <w:color w:val="ffffff"/>
      <w:shd w:val="clear" w:color="auto" w:fill="3366cc"/>
    </w:rPr>
  </w:style>
  <w:style w:type="character" w:styleId="1203" w:customStyle="1">
    <w:name w:val="info"/>
    <w:basedOn w:val="826"/>
    <w:uiPriority w:val="0"/>
    <w:qFormat/>
  </w:style>
  <w:style w:type="character" w:styleId="1204" w:customStyle="1">
    <w:name w:val="topic"/>
    <w:basedOn w:val="826"/>
    <w:uiPriority w:val="0"/>
    <w:qFormat/>
    <w:rPr>
      <w:color w:val="ff0000"/>
    </w:rPr>
  </w:style>
  <w:style w:type="paragraph" w:styleId="1205" w:customStyle="1">
    <w:name w:val="_Style 213"/>
    <w:basedOn w:val="816"/>
    <w:next w:val="876"/>
    <w:uiPriority w:val="34"/>
    <w:qFormat/>
    <w:pPr>
      <w:ind w:firstLine="420"/>
      <w:jc w:val="left"/>
      <w:spacing w:line="360" w:lineRule="atLeast"/>
    </w:pPr>
    <w:rPr>
      <w:rFonts w:ascii="Arial" w:hAnsi="Arial"/>
      <w:sz w:val="24"/>
    </w:rPr>
  </w:style>
  <w:style w:type="paragraph" w:styleId="1206"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07"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08" w:customStyle="1">
    <w:name w:val="NormalCharacter"/>
    <w:uiPriority w:val="0"/>
    <w:semiHidden/>
    <w:qFormat/>
    <w:rPr>
      <w:rFonts w:ascii="Calibri" w:hAnsi="Calibri" w:eastAsia="宋体"/>
      <w:sz w:val="21"/>
      <w:szCs w:val="24"/>
      <w:lang w:val="en-US" w:eastAsia="zh-CN" w:bidi="ar-SA"/>
    </w:rPr>
  </w:style>
  <w:style w:type="paragraph" w:styleId="1209">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10" w:customStyle="1">
    <w:name w:val="列表段落2"/>
    <w:basedOn w:val="816"/>
    <w:uiPriority w:val="0"/>
    <w:qFormat/>
    <w:pPr>
      <w:ind w:firstLine="420"/>
    </w:pPr>
    <w:rPr>
      <w:szCs w:val="21"/>
    </w:rPr>
  </w:style>
  <w:style w:type="paragraph" w:styleId="1211" w:customStyle="1">
    <w:name w:val="正文_9_0"/>
    <w:basedOn w:val="816"/>
    <w:uiPriority w:val="0"/>
    <w:qFormat/>
    <w:rPr>
      <w:szCs w:val="21"/>
    </w:rPr>
  </w:style>
  <w:style w:type="paragraph" w:styleId="1212" w:customStyle="1">
    <w:name w:val="p15"/>
    <w:basedOn w:val="816"/>
    <w:uiPriority w:val="0"/>
    <w:qFormat/>
    <w:pPr>
      <w:jc w:val="left"/>
      <w:widowControl/>
    </w:pPr>
    <w:rPr>
      <w:rFonts w:ascii="黑体" w:hAnsi="黑体" w:eastAsia="黑体" w:cs="宋体"/>
      <w:color w:val="000000"/>
      <w:sz w:val="24"/>
    </w:rPr>
  </w:style>
  <w:style w:type="paragraph" w:styleId="1213" w:customStyle="1">
    <w:name w:val="Table Text"/>
    <w:basedOn w:val="816"/>
    <w:uiPriority w:val="0"/>
    <w:semiHidden/>
    <w:qFormat/>
    <w:rPr>
      <w:rFonts w:ascii="宋体" w:hAnsi="宋体" w:cs="宋体"/>
      <w:szCs w:val="21"/>
      <w:lang w:eastAsia="en-US"/>
    </w:rPr>
  </w:style>
  <w:style w:type="paragraph" w:styleId="1214" w:customStyle="1">
    <w:name w:val="TOC 71"/>
    <w:next w:val="816"/>
    <w:uiPriority w:val="0"/>
    <w:qFormat/>
    <w:pPr>
      <w:ind w:left="2550"/>
      <w:jc w:val="both"/>
    </w:pPr>
    <w:rPr>
      <w:rFonts w:ascii="Times New Roman" w:hAnsi="Times New Roman" w:eastAsia="宋体" w:cs="Times New Roman"/>
      <w:sz w:val="21"/>
      <w:szCs w:val="22"/>
      <w:lang w:val="en-US" w:eastAsia="zh-CN" w:bidi="ar-SA"/>
    </w:rPr>
  </w:style>
  <w:style w:type="character" w:styleId="1215" w:customStyle="1">
    <w:name w:val="标题 1 字符"/>
    <w:basedOn w:val="826"/>
    <w:link w:val="817"/>
    <w:uiPriority w:val="0"/>
    <w:qFormat/>
    <w:rPr>
      <w:rFonts w:ascii="黑体" w:eastAsia="仿宋"/>
      <w:b/>
      <w:sz w:val="24"/>
      <w:szCs w:val="28"/>
    </w:rPr>
  </w:style>
  <w:style w:type="paragraph" w:styleId="1216" w:customStyle="1">
    <w:name w:val="WPSOffice手动目录 1"/>
    <w:uiPriority w:val="0"/>
    <w:qFormat/>
    <w:rPr>
      <w:rFonts w:ascii="Times New Roman" w:hAnsi="Times New Roman" w:eastAsia="宋体" w:cs="Times New Roman"/>
      <w:lang w:val="en-US" w:eastAsia="zh-CN" w:bidi="ar-SA"/>
    </w:rPr>
  </w:style>
  <w:style w:type="paragraph" w:styleId="1217" w:customStyle="1">
    <w:name w:val="WPSOffice手动目录 2"/>
    <w:uiPriority w:val="0"/>
    <w:qFormat/>
    <w:pPr>
      <w:ind w:left="200"/>
    </w:pPr>
    <w:rPr>
      <w:rFonts w:ascii="Times New Roman" w:hAnsi="Times New Roman" w:eastAsia="宋体" w:cs="Times New Roman"/>
      <w:lang w:val="en-US" w:eastAsia="zh-CN" w:bidi="ar-SA"/>
    </w:rPr>
  </w:style>
  <w:style w:type="paragraph" w:styleId="1218" w:customStyle="1">
    <w:name w:val="WPSOffice手动目录 3"/>
    <w:uiPriority w:val="0"/>
    <w:qFormat/>
    <w:pPr>
      <w:ind w:left="400"/>
    </w:pPr>
    <w:rPr>
      <w:rFonts w:ascii="Times New Roman" w:hAnsi="Times New Roman" w:eastAsia="宋体" w:cs="Times New Roman"/>
      <w:lang w:val="en-US" w:eastAsia="zh-CN" w:bidi="ar-SA"/>
    </w:rPr>
  </w:style>
  <w:style w:type="paragraph" w:styleId="1219" w:customStyle="1">
    <w:name w:val="CM24"/>
    <w:basedOn w:val="1140"/>
    <w:next w:val="1140"/>
    <w:uiPriority w:val="99"/>
    <w:unhideWhenUsed/>
    <w:qFormat/>
    <w:rPr>
      <w:rFonts w:ascii="Sim Sun" w:hAnsi="Sim Sun" w:eastAsia="Sim Sun"/>
      <w:szCs w:val="20"/>
    </w:rPr>
  </w:style>
  <w:style w:type="paragraph" w:styleId="1220" w:customStyle="1">
    <w:name w:val="CM1"/>
    <w:basedOn w:val="1140"/>
    <w:next w:val="1140"/>
    <w:uiPriority w:val="99"/>
    <w:unhideWhenUsed/>
    <w:qFormat/>
    <w:pPr>
      <w:spacing w:line="360" w:lineRule="atLeast"/>
    </w:pPr>
    <w:rPr>
      <w:rFonts w:ascii="Sim Sun" w:hAnsi="Sim Sun" w:eastAsia="Sim Sun"/>
      <w:szCs w:val="20"/>
    </w:rPr>
  </w:style>
  <w:style w:type="paragraph" w:styleId="1221" w:customStyle="1">
    <w:name w:val="UserStyle_0"/>
    <w:basedOn w:val="816"/>
    <w:uiPriority w:val="0"/>
    <w:qFormat/>
    <w:pPr>
      <w:ind w:firstLine="200"/>
      <w:spacing w:before="50" w:after="50"/>
    </w:pPr>
    <w:rPr>
      <w:rFonts w:ascii="宋体" w:hAnsi="宋体"/>
    </w:rPr>
  </w:style>
  <w:style w:type="paragraph" w:styleId="1222" w:customStyle="1">
    <w:name w:val="Table Paragraph"/>
    <w:basedOn w:val="816"/>
    <w:uiPriority w:val="1"/>
    <w:qFormat/>
  </w:style>
  <w:style w:type="character" w:styleId="1223" w:customStyle="1">
    <w:name w:val="font41"/>
    <w:basedOn w:val="826"/>
    <w:uiPriority w:val="0"/>
    <w:qFormat/>
    <w:rPr>
      <w:rFonts w:hint="eastAsia" w:ascii="宋体" w:hAnsi="宋体" w:eastAsia="宋体" w:cs="宋体"/>
      <w:color w:val="000000"/>
      <w:sz w:val="16"/>
      <w:szCs w:val="16"/>
      <w:u w:val="none"/>
    </w:rPr>
  </w:style>
  <w:style w:type="paragraph" w:styleId="1224" w:customStyle="1">
    <w:name w:val="纯文本1"/>
    <w:basedOn w:val="816"/>
    <w:uiPriority w:val="0"/>
    <w:qFormat/>
    <w:rPr>
      <w:rFonts w:ascii="宋体" w:hAnsi="宋体" w:eastAsia="楷体_GB2312" w:cs="宋体"/>
      <w:sz w:val="28"/>
      <w:szCs w:val="20"/>
    </w:rPr>
  </w:style>
  <w:style w:type="numbering" w:styleId="14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郝慧</cp:lastModifiedBy>
  <cp:revision>28</cp:revision>
  <dcterms:created xsi:type="dcterms:W3CDTF">2024-09-05T01:13:00Z</dcterms:created>
  <dcterms:modified xsi:type="dcterms:W3CDTF">2025-10-28T08:36:58Z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FDC251EC0C0F4B818C9DBF489ED6968A_13</vt:lpwstr>
  </property>
  <property fmtid="{D5CDD505-2E9C-101B-9397-08002B2CF9AE}" pid="4" name="KSOTemplateDocerSaveRecord">
    <vt:lpwstr>eyJoZGlkIjoiMTE3NjFjMGY3OWZkNDFjNmU3ZWM3MWJhNjMzMzAzZWQiLCJ1c2VySWQiOiI0NDkwMTY2NDMifQ==</vt:lpwstr>
  </property>
</Properties>
</file>